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131E6" w14:textId="77777777" w:rsidR="00A25D56" w:rsidRPr="0051511B" w:rsidRDefault="00A725C3" w:rsidP="0051511B">
      <w:pPr>
        <w:jc w:val="center"/>
        <w:rPr>
          <w:rFonts w:ascii="Cambria" w:hAnsi="Cambria"/>
          <w:b/>
          <w:sz w:val="24"/>
          <w:szCs w:val="24"/>
        </w:rPr>
      </w:pPr>
      <w:r>
        <w:rPr>
          <w:rFonts w:ascii="Cambria" w:hAnsi="Cambria"/>
          <w:b/>
          <w:sz w:val="24"/>
          <w:szCs w:val="24"/>
        </w:rPr>
        <w:t>TERMO DE REFERÊ</w:t>
      </w:r>
      <w:r w:rsidR="0051511B" w:rsidRPr="0051511B">
        <w:rPr>
          <w:rFonts w:ascii="Cambria" w:hAnsi="Cambria"/>
          <w:b/>
          <w:sz w:val="24"/>
          <w:szCs w:val="24"/>
        </w:rPr>
        <w:t>NCIA</w:t>
      </w:r>
      <w:r w:rsidR="009C0ACD">
        <w:rPr>
          <w:rFonts w:ascii="Cambria" w:hAnsi="Cambria"/>
          <w:b/>
          <w:sz w:val="24"/>
          <w:szCs w:val="24"/>
        </w:rPr>
        <w:t xml:space="preserve"> - TR</w:t>
      </w:r>
    </w:p>
    <w:p w14:paraId="2CA131E7" w14:textId="77777777" w:rsidR="00C922E2" w:rsidRPr="0051511B" w:rsidRDefault="00C922E2">
      <w:pPr>
        <w:rPr>
          <w:rFonts w:ascii="Cambria" w:hAnsi="Cambria"/>
          <w:sz w:val="24"/>
          <w:szCs w:val="24"/>
        </w:rPr>
      </w:pPr>
    </w:p>
    <w:p w14:paraId="2CA131E8" w14:textId="77777777" w:rsidR="00C922E2" w:rsidRDefault="0051511B" w:rsidP="00A447EA">
      <w:pPr>
        <w:pStyle w:val="TR-1"/>
        <w:shd w:val="clear" w:color="auto" w:fill="8496B0" w:themeFill="text2" w:themeFillTint="99"/>
      </w:pPr>
      <w:r w:rsidRPr="00235314">
        <w:t>DO</w:t>
      </w:r>
      <w:r w:rsidRPr="0051511B">
        <w:t xml:space="preserve"> </w:t>
      </w:r>
      <w:r w:rsidRPr="00235314">
        <w:t>OBJETO</w:t>
      </w:r>
    </w:p>
    <w:p w14:paraId="2CA131E9" w14:textId="442C9870" w:rsidR="0051511B" w:rsidRPr="005B167F" w:rsidRDefault="00AA26E7" w:rsidP="005B167F">
      <w:pPr>
        <w:pStyle w:val="TR-2"/>
      </w:pPr>
      <w:r>
        <w:t>O presente termo de referência</w:t>
      </w:r>
      <w:r w:rsidRPr="005B167F">
        <w:t xml:space="preserve"> tem como objetivo o </w:t>
      </w:r>
      <w:r w:rsidRPr="00A725C3">
        <w:rPr>
          <w:b/>
        </w:rPr>
        <w:t xml:space="preserve">Registro de </w:t>
      </w:r>
      <w:r w:rsidRPr="00AA26E7">
        <w:rPr>
          <w:b/>
        </w:rPr>
        <w:t>Preço</w:t>
      </w:r>
      <w:r w:rsidRPr="00AA26E7">
        <w:t xml:space="preserve"> para a</w:t>
      </w:r>
      <w:r w:rsidR="00A633EC" w:rsidRPr="00AA26E7">
        <w:t xml:space="preserve"> </w:t>
      </w:r>
      <w:r w:rsidR="00B96A03" w:rsidRPr="00AA26E7">
        <w:t xml:space="preserve">eventual </w:t>
      </w:r>
      <w:r w:rsidR="00B96A03" w:rsidRPr="00A447EA">
        <w:t>Contratação de empresa</w:t>
      </w:r>
      <w:r w:rsidR="00B96A03" w:rsidRPr="00AA26E7">
        <w:t xml:space="preserve"> especializada para fornecimento</w:t>
      </w:r>
      <w:r w:rsidR="009164F7" w:rsidRPr="00AA26E7">
        <w:t xml:space="preserve"> parcelado</w:t>
      </w:r>
      <w:r w:rsidR="00B96A03" w:rsidRPr="00AA26E7">
        <w:t xml:space="preserve"> de </w:t>
      </w:r>
      <w:r w:rsidR="00A447EA">
        <w:rPr>
          <w:b/>
        </w:rPr>
        <w:t>Caixas Plásticas para atender as necessidades do CAF</w:t>
      </w:r>
      <w:r w:rsidR="00F34A6E">
        <w:rPr>
          <w:b/>
        </w:rPr>
        <w:t xml:space="preserve"> </w:t>
      </w:r>
      <w:r w:rsidR="00A447EA">
        <w:rPr>
          <w:b/>
        </w:rPr>
        <w:t xml:space="preserve">(Central de Abastecimento Farmacêutico) e </w:t>
      </w:r>
      <w:r w:rsidR="005B167F" w:rsidRPr="005B167F">
        <w:t xml:space="preserve">da </w:t>
      </w:r>
      <w:r w:rsidR="00B96A03">
        <w:t>secretaria de Saúde</w:t>
      </w:r>
      <w:r w:rsidR="005B167F" w:rsidRPr="005B167F">
        <w:t xml:space="preserve"> do Município de São Lourenço da Mata – PE, Conforme condições, quantidades e exigências estabelecidas neste instrumento</w:t>
      </w:r>
      <w:r w:rsidR="00A725C3">
        <w:t>.</w:t>
      </w:r>
    </w:p>
    <w:p w14:paraId="2CA131EA" w14:textId="77777777" w:rsidR="00C922E2" w:rsidRDefault="0051511B" w:rsidP="00A447EA">
      <w:pPr>
        <w:pStyle w:val="TR-1"/>
        <w:shd w:val="clear" w:color="auto" w:fill="8496B0" w:themeFill="text2" w:themeFillTint="99"/>
      </w:pPr>
      <w:r w:rsidRPr="0051511B">
        <w:t xml:space="preserve">DA </w:t>
      </w:r>
      <w:r w:rsidRPr="009916BD">
        <w:t>JUSTIFICATIVA</w:t>
      </w:r>
    </w:p>
    <w:p w14:paraId="1B2BB75A" w14:textId="77777777" w:rsidR="00A447EA" w:rsidRDefault="00A447EA" w:rsidP="00A447EA">
      <w:pPr>
        <w:pStyle w:val="TR-2"/>
      </w:pPr>
      <w:r>
        <w:t>Cumprimentando-a cordialmente e, considerando a importância do acondicionamento correto dos remédios para a preservação do produto, que objetiva ofertar durabilidade ao produto enquanto está no período de validade.</w:t>
      </w:r>
    </w:p>
    <w:p w14:paraId="7725A52C" w14:textId="4C36F114" w:rsidR="00A447EA" w:rsidRDefault="00A447EA" w:rsidP="00A447EA">
      <w:pPr>
        <w:pStyle w:val="TR-2"/>
      </w:pPr>
      <w:r>
        <w:t xml:space="preserve">Considerando o armazenamento e distribuição de medicamentos são etapas do ciclo da Assistência Farmacêutica, ciclo este orientado pelo Ministério da Saúde a ser norteador na realização das etapas de seleção, programação, aquisição, distribuição e dispensação, com suas interfaces todas voltadas para </w:t>
      </w:r>
      <w:proofErr w:type="gramStart"/>
      <w:r>
        <w:t>à</w:t>
      </w:r>
      <w:proofErr w:type="gramEnd"/>
      <w:r>
        <w:t xml:space="preserve"> saúd</w:t>
      </w:r>
      <w:r w:rsidR="00F34A6E">
        <w:t>e</w:t>
      </w:r>
      <w:r>
        <w:t xml:space="preserve">, a necessidade de um </w:t>
      </w:r>
      <w:proofErr w:type="gramStart"/>
      <w:r>
        <w:t>armazenamento</w:t>
      </w:r>
      <w:proofErr w:type="gramEnd"/>
      <w:r>
        <w:t xml:space="preserve"> adequado das medicações nas farmácias das Unidades de Saúde e da Central de Abastecimento Farmacêutico (CAF).</w:t>
      </w:r>
    </w:p>
    <w:p w14:paraId="2E95981A" w14:textId="4CC2B36C" w:rsidR="00A447EA" w:rsidRDefault="00C718F5" w:rsidP="00C718F5">
      <w:pPr>
        <w:pStyle w:val="TR-2"/>
      </w:pPr>
      <w:r>
        <w:t>As</w:t>
      </w:r>
      <w:r w:rsidR="00A447EA">
        <w:t xml:space="preserve"> boas práticas de armazenamento dos medicamentos são indispensáveis para a preservação de todo e qualquer fármaco de natureza perecível. Manter a estabilidade dos medicamentos durante sua produção, distribuição e armazenamento é fundamental para garantir sua eficácia, reduzir perdas e por fim controlar problemas na saúde.</w:t>
      </w:r>
    </w:p>
    <w:p w14:paraId="2CA131F6" w14:textId="77777777" w:rsidR="00C922E2" w:rsidRDefault="0051511B" w:rsidP="002039D8">
      <w:pPr>
        <w:pStyle w:val="TR-1"/>
        <w:shd w:val="clear" w:color="auto" w:fill="8496B0" w:themeFill="text2" w:themeFillTint="99"/>
      </w:pPr>
      <w:r w:rsidRPr="0051511B">
        <w:t>DAS ESPECIFICAÇÕES E PREÇOS MÁXIMOS ESTIMADOS</w:t>
      </w:r>
    </w:p>
    <w:p w14:paraId="2CA132DA" w14:textId="3FD2549B" w:rsidR="004E0C99" w:rsidRDefault="008A4C79" w:rsidP="008A4C79">
      <w:pPr>
        <w:pStyle w:val="TR-2"/>
      </w:pPr>
      <w:r w:rsidRPr="008A4C79">
        <w:tab/>
        <w:t>Em atenção ao fixado no art. 48, I da Lei Complementar n. 123, de 2006 (atualizada pela LC n. 147/2014), todos os itens que compõem o presente termo de referência são destinados exclusivamente para participação de ME/EPP/COOP beneficiadas pela LC n. 123/2006, conforme disposto no quadro abaixo:</w:t>
      </w:r>
    </w:p>
    <w:tbl>
      <w:tblPr>
        <w:tblW w:w="93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3688"/>
        <w:gridCol w:w="760"/>
        <w:gridCol w:w="960"/>
        <w:gridCol w:w="960"/>
        <w:gridCol w:w="960"/>
        <w:gridCol w:w="11"/>
        <w:gridCol w:w="1449"/>
        <w:gridCol w:w="11"/>
      </w:tblGrid>
      <w:tr w:rsidR="009D5AB3" w:rsidRPr="00946122" w14:paraId="5DE01E65" w14:textId="77777777" w:rsidTr="00C40284">
        <w:trPr>
          <w:gridAfter w:val="1"/>
          <w:wAfter w:w="11" w:type="dxa"/>
          <w:trHeight w:val="438"/>
        </w:trPr>
        <w:tc>
          <w:tcPr>
            <w:tcW w:w="580" w:type="dxa"/>
            <w:vMerge w:val="restart"/>
            <w:shd w:val="clear" w:color="auto" w:fill="8496B0" w:themeFill="text2" w:themeFillTint="99"/>
            <w:vAlign w:val="center"/>
            <w:hideMark/>
          </w:tcPr>
          <w:p w14:paraId="2E81325C" w14:textId="77777777" w:rsidR="009D5AB3" w:rsidRPr="00946122" w:rsidRDefault="009D5AB3" w:rsidP="009D5AB3">
            <w:pPr>
              <w:spacing w:after="0" w:line="240" w:lineRule="auto"/>
              <w:jc w:val="center"/>
              <w:rPr>
                <w:rFonts w:ascii="Cambria" w:eastAsia="Times New Roman" w:hAnsi="Cambria" w:cs="Calibri"/>
                <w:b/>
                <w:bCs/>
                <w:color w:val="000000"/>
                <w:sz w:val="18"/>
                <w:szCs w:val="18"/>
                <w:lang w:eastAsia="pt-BR"/>
              </w:rPr>
            </w:pPr>
            <w:r w:rsidRPr="00946122">
              <w:rPr>
                <w:rFonts w:ascii="Cambria" w:eastAsia="Times New Roman" w:hAnsi="Cambria" w:cs="Calibri"/>
                <w:b/>
                <w:bCs/>
                <w:color w:val="000000"/>
                <w:sz w:val="18"/>
                <w:szCs w:val="18"/>
                <w:lang w:eastAsia="pt-BR"/>
              </w:rPr>
              <w:t>ITEM</w:t>
            </w:r>
          </w:p>
        </w:tc>
        <w:tc>
          <w:tcPr>
            <w:tcW w:w="3688" w:type="dxa"/>
            <w:vMerge w:val="restart"/>
            <w:shd w:val="clear" w:color="auto" w:fill="8496B0" w:themeFill="text2" w:themeFillTint="99"/>
            <w:vAlign w:val="center"/>
            <w:hideMark/>
          </w:tcPr>
          <w:p w14:paraId="2D75BCEE" w14:textId="77777777" w:rsidR="009D5AB3" w:rsidRPr="00946122" w:rsidRDefault="009D5AB3" w:rsidP="009D5AB3">
            <w:pPr>
              <w:spacing w:after="0" w:line="240" w:lineRule="auto"/>
              <w:jc w:val="center"/>
              <w:rPr>
                <w:rFonts w:ascii="Cambria" w:eastAsia="Times New Roman" w:hAnsi="Cambria" w:cs="Calibri"/>
                <w:b/>
                <w:bCs/>
                <w:color w:val="000000"/>
                <w:sz w:val="18"/>
                <w:szCs w:val="18"/>
                <w:lang w:eastAsia="pt-BR"/>
              </w:rPr>
            </w:pPr>
            <w:r w:rsidRPr="00946122">
              <w:rPr>
                <w:rFonts w:ascii="Cambria" w:eastAsia="Times New Roman" w:hAnsi="Cambria" w:cs="Calibri"/>
                <w:b/>
                <w:bCs/>
                <w:color w:val="000000"/>
                <w:sz w:val="18"/>
                <w:szCs w:val="18"/>
                <w:lang w:eastAsia="pt-BR"/>
              </w:rPr>
              <w:t>ESPECIFICAÇÃO DO PRODUTO</w:t>
            </w:r>
          </w:p>
        </w:tc>
        <w:tc>
          <w:tcPr>
            <w:tcW w:w="760" w:type="dxa"/>
            <w:vMerge w:val="restart"/>
            <w:shd w:val="clear" w:color="auto" w:fill="8496B0" w:themeFill="text2" w:themeFillTint="99"/>
            <w:vAlign w:val="center"/>
            <w:hideMark/>
          </w:tcPr>
          <w:p w14:paraId="18DDC836" w14:textId="77777777" w:rsidR="009D5AB3" w:rsidRPr="00946122" w:rsidRDefault="009D5AB3" w:rsidP="009D5AB3">
            <w:pPr>
              <w:spacing w:after="0" w:line="240" w:lineRule="auto"/>
              <w:jc w:val="center"/>
              <w:rPr>
                <w:rFonts w:ascii="Cambria" w:eastAsia="Times New Roman" w:hAnsi="Cambria" w:cs="Calibri"/>
                <w:b/>
                <w:bCs/>
                <w:color w:val="000000"/>
                <w:sz w:val="18"/>
                <w:szCs w:val="18"/>
                <w:lang w:eastAsia="pt-BR"/>
              </w:rPr>
            </w:pPr>
            <w:r w:rsidRPr="00946122">
              <w:rPr>
                <w:rFonts w:ascii="Cambria" w:eastAsia="Times New Roman" w:hAnsi="Cambria" w:cs="Calibri"/>
                <w:b/>
                <w:bCs/>
                <w:color w:val="000000"/>
                <w:sz w:val="18"/>
                <w:szCs w:val="18"/>
                <w:lang w:eastAsia="pt-BR"/>
              </w:rPr>
              <w:t>UND</w:t>
            </w:r>
          </w:p>
        </w:tc>
        <w:tc>
          <w:tcPr>
            <w:tcW w:w="960" w:type="dxa"/>
            <w:vMerge w:val="restart"/>
            <w:shd w:val="clear" w:color="auto" w:fill="8496B0" w:themeFill="text2" w:themeFillTint="99"/>
            <w:vAlign w:val="center"/>
            <w:hideMark/>
          </w:tcPr>
          <w:p w14:paraId="0F56799D" w14:textId="77777777" w:rsidR="009D5AB3" w:rsidRPr="00946122" w:rsidRDefault="009D5AB3" w:rsidP="009D5AB3">
            <w:pPr>
              <w:spacing w:after="0" w:line="240" w:lineRule="auto"/>
              <w:jc w:val="center"/>
              <w:rPr>
                <w:rFonts w:ascii="Cambria" w:eastAsia="Times New Roman" w:hAnsi="Cambria" w:cs="Calibri"/>
                <w:b/>
                <w:bCs/>
                <w:color w:val="000000"/>
                <w:sz w:val="18"/>
                <w:szCs w:val="18"/>
                <w:lang w:eastAsia="pt-BR"/>
              </w:rPr>
            </w:pPr>
            <w:r w:rsidRPr="00946122">
              <w:rPr>
                <w:rFonts w:ascii="Cambria" w:eastAsia="Times New Roman" w:hAnsi="Cambria" w:cs="Calibri"/>
                <w:b/>
                <w:bCs/>
                <w:color w:val="000000"/>
                <w:sz w:val="18"/>
                <w:szCs w:val="18"/>
                <w:lang w:eastAsia="pt-BR"/>
              </w:rPr>
              <w:t>QUANT</w:t>
            </w:r>
          </w:p>
        </w:tc>
        <w:tc>
          <w:tcPr>
            <w:tcW w:w="960" w:type="dxa"/>
            <w:vMerge w:val="restart"/>
            <w:shd w:val="clear" w:color="auto" w:fill="8496B0" w:themeFill="text2" w:themeFillTint="99"/>
            <w:vAlign w:val="center"/>
            <w:hideMark/>
          </w:tcPr>
          <w:p w14:paraId="03844625" w14:textId="77777777" w:rsidR="009D5AB3" w:rsidRPr="00946122" w:rsidRDefault="009D5AB3" w:rsidP="009D5AB3">
            <w:pPr>
              <w:spacing w:after="0" w:line="240" w:lineRule="auto"/>
              <w:jc w:val="center"/>
              <w:rPr>
                <w:rFonts w:ascii="Cambria" w:eastAsia="Times New Roman" w:hAnsi="Cambria" w:cs="Calibri"/>
                <w:b/>
                <w:bCs/>
                <w:color w:val="000000"/>
                <w:sz w:val="18"/>
                <w:szCs w:val="18"/>
                <w:lang w:eastAsia="pt-BR"/>
              </w:rPr>
            </w:pPr>
            <w:r w:rsidRPr="00946122">
              <w:rPr>
                <w:rFonts w:ascii="Cambria" w:eastAsia="Times New Roman" w:hAnsi="Cambria" w:cs="Calibri"/>
                <w:b/>
                <w:bCs/>
                <w:color w:val="000000"/>
                <w:sz w:val="18"/>
                <w:szCs w:val="18"/>
                <w:lang w:eastAsia="pt-BR"/>
              </w:rPr>
              <w:t xml:space="preserve"> MÉDIA </w:t>
            </w:r>
          </w:p>
        </w:tc>
        <w:tc>
          <w:tcPr>
            <w:tcW w:w="960" w:type="dxa"/>
            <w:vMerge w:val="restart"/>
            <w:shd w:val="clear" w:color="auto" w:fill="8496B0" w:themeFill="text2" w:themeFillTint="99"/>
            <w:vAlign w:val="center"/>
            <w:hideMark/>
          </w:tcPr>
          <w:p w14:paraId="04839F36" w14:textId="77777777" w:rsidR="009D5AB3" w:rsidRPr="00946122" w:rsidRDefault="009D5AB3" w:rsidP="009D5AB3">
            <w:pPr>
              <w:spacing w:after="0" w:line="240" w:lineRule="auto"/>
              <w:jc w:val="center"/>
              <w:rPr>
                <w:rFonts w:ascii="Cambria" w:eastAsia="Times New Roman" w:hAnsi="Cambria" w:cs="Calibri"/>
                <w:b/>
                <w:bCs/>
                <w:color w:val="000000"/>
                <w:sz w:val="18"/>
                <w:szCs w:val="18"/>
                <w:lang w:eastAsia="pt-BR"/>
              </w:rPr>
            </w:pPr>
            <w:r w:rsidRPr="00946122">
              <w:rPr>
                <w:rFonts w:ascii="Cambria" w:eastAsia="Times New Roman" w:hAnsi="Cambria" w:cs="Calibri"/>
                <w:b/>
                <w:bCs/>
                <w:color w:val="000000"/>
                <w:sz w:val="18"/>
                <w:szCs w:val="18"/>
                <w:lang w:eastAsia="pt-BR"/>
              </w:rPr>
              <w:t xml:space="preserve"> V. UNIT. </w:t>
            </w:r>
          </w:p>
        </w:tc>
        <w:tc>
          <w:tcPr>
            <w:tcW w:w="1460" w:type="dxa"/>
            <w:gridSpan w:val="2"/>
            <w:vMerge w:val="restart"/>
            <w:shd w:val="clear" w:color="auto" w:fill="8496B0" w:themeFill="text2" w:themeFillTint="99"/>
            <w:vAlign w:val="center"/>
            <w:hideMark/>
          </w:tcPr>
          <w:p w14:paraId="487F7CB6" w14:textId="77777777" w:rsidR="009D5AB3" w:rsidRPr="00946122" w:rsidRDefault="009D5AB3" w:rsidP="009D5AB3">
            <w:pPr>
              <w:spacing w:after="0" w:line="240" w:lineRule="auto"/>
              <w:jc w:val="center"/>
              <w:rPr>
                <w:rFonts w:ascii="Cambria" w:eastAsia="Times New Roman" w:hAnsi="Cambria" w:cs="Calibri"/>
                <w:b/>
                <w:bCs/>
                <w:color w:val="000000"/>
                <w:sz w:val="18"/>
                <w:szCs w:val="18"/>
                <w:lang w:eastAsia="pt-BR"/>
              </w:rPr>
            </w:pPr>
            <w:r w:rsidRPr="00946122">
              <w:rPr>
                <w:rFonts w:ascii="Cambria" w:eastAsia="Times New Roman" w:hAnsi="Cambria" w:cs="Calibri"/>
                <w:b/>
                <w:bCs/>
                <w:color w:val="000000"/>
                <w:sz w:val="18"/>
                <w:szCs w:val="18"/>
                <w:lang w:eastAsia="pt-BR"/>
              </w:rPr>
              <w:t xml:space="preserve"> </w:t>
            </w:r>
            <w:proofErr w:type="gramStart"/>
            <w:r w:rsidRPr="00946122">
              <w:rPr>
                <w:rFonts w:ascii="Cambria" w:eastAsia="Times New Roman" w:hAnsi="Cambria" w:cs="Calibri"/>
                <w:b/>
                <w:bCs/>
                <w:color w:val="000000"/>
                <w:sz w:val="18"/>
                <w:szCs w:val="18"/>
                <w:lang w:eastAsia="pt-BR"/>
              </w:rPr>
              <w:t>V.</w:t>
            </w:r>
            <w:proofErr w:type="gramEnd"/>
            <w:r w:rsidRPr="00946122">
              <w:rPr>
                <w:rFonts w:ascii="Cambria" w:eastAsia="Times New Roman" w:hAnsi="Cambria" w:cs="Calibri"/>
                <w:b/>
                <w:bCs/>
                <w:color w:val="000000"/>
                <w:sz w:val="18"/>
                <w:szCs w:val="18"/>
                <w:lang w:eastAsia="pt-BR"/>
              </w:rPr>
              <w:t xml:space="preserve">TOTAL </w:t>
            </w:r>
          </w:p>
        </w:tc>
      </w:tr>
      <w:tr w:rsidR="009D5AB3" w:rsidRPr="00946122" w14:paraId="569BA819" w14:textId="77777777" w:rsidTr="00C40284">
        <w:trPr>
          <w:gridAfter w:val="1"/>
          <w:wAfter w:w="11" w:type="dxa"/>
          <w:trHeight w:val="438"/>
        </w:trPr>
        <w:tc>
          <w:tcPr>
            <w:tcW w:w="580" w:type="dxa"/>
            <w:vMerge/>
            <w:shd w:val="clear" w:color="auto" w:fill="8496B0" w:themeFill="text2" w:themeFillTint="99"/>
            <w:vAlign w:val="center"/>
            <w:hideMark/>
          </w:tcPr>
          <w:p w14:paraId="79FADF15" w14:textId="77777777" w:rsidR="009D5AB3" w:rsidRPr="00946122" w:rsidRDefault="009D5AB3" w:rsidP="009D5AB3">
            <w:pPr>
              <w:spacing w:after="0" w:line="240" w:lineRule="auto"/>
              <w:rPr>
                <w:rFonts w:ascii="Cambria" w:eastAsia="Times New Roman" w:hAnsi="Cambria" w:cs="Calibri"/>
                <w:b/>
                <w:bCs/>
                <w:color w:val="000000"/>
                <w:sz w:val="18"/>
                <w:szCs w:val="18"/>
                <w:lang w:eastAsia="pt-BR"/>
              </w:rPr>
            </w:pPr>
          </w:p>
        </w:tc>
        <w:tc>
          <w:tcPr>
            <w:tcW w:w="3688" w:type="dxa"/>
            <w:vMerge/>
            <w:shd w:val="clear" w:color="auto" w:fill="8496B0" w:themeFill="text2" w:themeFillTint="99"/>
            <w:vAlign w:val="center"/>
            <w:hideMark/>
          </w:tcPr>
          <w:p w14:paraId="284D1307" w14:textId="77777777" w:rsidR="009D5AB3" w:rsidRPr="00946122" w:rsidRDefault="009D5AB3" w:rsidP="009D5AB3">
            <w:pPr>
              <w:spacing w:after="0" w:line="240" w:lineRule="auto"/>
              <w:rPr>
                <w:rFonts w:ascii="Cambria" w:eastAsia="Times New Roman" w:hAnsi="Cambria" w:cs="Calibri"/>
                <w:b/>
                <w:bCs/>
                <w:color w:val="000000"/>
                <w:sz w:val="18"/>
                <w:szCs w:val="18"/>
                <w:lang w:eastAsia="pt-BR"/>
              </w:rPr>
            </w:pPr>
          </w:p>
        </w:tc>
        <w:tc>
          <w:tcPr>
            <w:tcW w:w="760" w:type="dxa"/>
            <w:vMerge/>
            <w:shd w:val="clear" w:color="auto" w:fill="8496B0" w:themeFill="text2" w:themeFillTint="99"/>
            <w:vAlign w:val="center"/>
            <w:hideMark/>
          </w:tcPr>
          <w:p w14:paraId="2FDFCAB0" w14:textId="77777777" w:rsidR="009D5AB3" w:rsidRPr="00946122" w:rsidRDefault="009D5AB3" w:rsidP="009D5AB3">
            <w:pPr>
              <w:spacing w:after="0" w:line="240" w:lineRule="auto"/>
              <w:rPr>
                <w:rFonts w:ascii="Cambria" w:eastAsia="Times New Roman" w:hAnsi="Cambria" w:cs="Calibri"/>
                <w:b/>
                <w:bCs/>
                <w:color w:val="000000"/>
                <w:sz w:val="18"/>
                <w:szCs w:val="18"/>
                <w:lang w:eastAsia="pt-BR"/>
              </w:rPr>
            </w:pPr>
          </w:p>
        </w:tc>
        <w:tc>
          <w:tcPr>
            <w:tcW w:w="960" w:type="dxa"/>
            <w:vMerge/>
            <w:shd w:val="clear" w:color="auto" w:fill="8496B0" w:themeFill="text2" w:themeFillTint="99"/>
            <w:vAlign w:val="center"/>
            <w:hideMark/>
          </w:tcPr>
          <w:p w14:paraId="376F7EEE" w14:textId="77777777" w:rsidR="009D5AB3" w:rsidRPr="00946122" w:rsidRDefault="009D5AB3" w:rsidP="009D5AB3">
            <w:pPr>
              <w:spacing w:after="0" w:line="240" w:lineRule="auto"/>
              <w:rPr>
                <w:rFonts w:ascii="Cambria" w:eastAsia="Times New Roman" w:hAnsi="Cambria" w:cs="Calibri"/>
                <w:b/>
                <w:bCs/>
                <w:color w:val="000000"/>
                <w:sz w:val="18"/>
                <w:szCs w:val="18"/>
                <w:lang w:eastAsia="pt-BR"/>
              </w:rPr>
            </w:pPr>
          </w:p>
        </w:tc>
        <w:tc>
          <w:tcPr>
            <w:tcW w:w="960" w:type="dxa"/>
            <w:vMerge/>
            <w:shd w:val="clear" w:color="auto" w:fill="8496B0" w:themeFill="text2" w:themeFillTint="99"/>
            <w:vAlign w:val="center"/>
            <w:hideMark/>
          </w:tcPr>
          <w:p w14:paraId="4B6544C1" w14:textId="77777777" w:rsidR="009D5AB3" w:rsidRPr="00946122" w:rsidRDefault="009D5AB3" w:rsidP="009D5AB3">
            <w:pPr>
              <w:spacing w:after="0" w:line="240" w:lineRule="auto"/>
              <w:rPr>
                <w:rFonts w:ascii="Cambria" w:eastAsia="Times New Roman" w:hAnsi="Cambria" w:cs="Calibri"/>
                <w:b/>
                <w:bCs/>
                <w:color w:val="000000"/>
                <w:sz w:val="18"/>
                <w:szCs w:val="18"/>
                <w:lang w:eastAsia="pt-BR"/>
              </w:rPr>
            </w:pPr>
          </w:p>
        </w:tc>
        <w:tc>
          <w:tcPr>
            <w:tcW w:w="960" w:type="dxa"/>
            <w:vMerge/>
            <w:shd w:val="clear" w:color="auto" w:fill="8496B0" w:themeFill="text2" w:themeFillTint="99"/>
            <w:vAlign w:val="center"/>
            <w:hideMark/>
          </w:tcPr>
          <w:p w14:paraId="070B8738" w14:textId="77777777" w:rsidR="009D5AB3" w:rsidRPr="00946122" w:rsidRDefault="009D5AB3" w:rsidP="009D5AB3">
            <w:pPr>
              <w:spacing w:after="0" w:line="240" w:lineRule="auto"/>
              <w:rPr>
                <w:rFonts w:ascii="Cambria" w:eastAsia="Times New Roman" w:hAnsi="Cambria" w:cs="Calibri"/>
                <w:b/>
                <w:bCs/>
                <w:color w:val="000000"/>
                <w:sz w:val="18"/>
                <w:szCs w:val="18"/>
                <w:lang w:eastAsia="pt-BR"/>
              </w:rPr>
            </w:pPr>
          </w:p>
        </w:tc>
        <w:tc>
          <w:tcPr>
            <w:tcW w:w="1460" w:type="dxa"/>
            <w:gridSpan w:val="2"/>
            <w:vMerge/>
            <w:shd w:val="clear" w:color="auto" w:fill="8496B0" w:themeFill="text2" w:themeFillTint="99"/>
            <w:vAlign w:val="center"/>
            <w:hideMark/>
          </w:tcPr>
          <w:p w14:paraId="604F206C" w14:textId="77777777" w:rsidR="009D5AB3" w:rsidRPr="00946122" w:rsidRDefault="009D5AB3" w:rsidP="009D5AB3">
            <w:pPr>
              <w:spacing w:after="0" w:line="240" w:lineRule="auto"/>
              <w:rPr>
                <w:rFonts w:ascii="Cambria" w:eastAsia="Times New Roman" w:hAnsi="Cambria" w:cs="Calibri"/>
                <w:b/>
                <w:bCs/>
                <w:color w:val="000000"/>
                <w:sz w:val="18"/>
                <w:szCs w:val="18"/>
                <w:lang w:eastAsia="pt-BR"/>
              </w:rPr>
            </w:pPr>
          </w:p>
        </w:tc>
      </w:tr>
      <w:tr w:rsidR="009D5AB3" w:rsidRPr="00946122" w14:paraId="147B7601" w14:textId="77777777" w:rsidTr="00C40284">
        <w:trPr>
          <w:gridAfter w:val="1"/>
          <w:wAfter w:w="11" w:type="dxa"/>
          <w:trHeight w:val="20"/>
        </w:trPr>
        <w:tc>
          <w:tcPr>
            <w:tcW w:w="580" w:type="dxa"/>
            <w:shd w:val="clear" w:color="auto" w:fill="auto"/>
            <w:vAlign w:val="center"/>
            <w:hideMark/>
          </w:tcPr>
          <w:p w14:paraId="2C8CB142" w14:textId="77777777" w:rsidR="009D5AB3" w:rsidRPr="00946122" w:rsidRDefault="009D5AB3" w:rsidP="009D5AB3">
            <w:pPr>
              <w:spacing w:after="0" w:line="240" w:lineRule="auto"/>
              <w:jc w:val="center"/>
              <w:rPr>
                <w:rFonts w:ascii="Cambria" w:eastAsia="Times New Roman" w:hAnsi="Cambria" w:cs="Calibri"/>
                <w:color w:val="000000"/>
                <w:sz w:val="18"/>
                <w:szCs w:val="18"/>
                <w:lang w:eastAsia="pt-BR"/>
              </w:rPr>
            </w:pPr>
            <w:proofErr w:type="gramStart"/>
            <w:r w:rsidRPr="00946122">
              <w:rPr>
                <w:rFonts w:ascii="Cambria" w:eastAsia="Times New Roman" w:hAnsi="Cambria" w:cs="Calibri"/>
                <w:color w:val="000000"/>
                <w:sz w:val="18"/>
                <w:szCs w:val="18"/>
                <w:lang w:eastAsia="pt-BR"/>
              </w:rPr>
              <w:t>1</w:t>
            </w:r>
            <w:proofErr w:type="gramEnd"/>
          </w:p>
        </w:tc>
        <w:tc>
          <w:tcPr>
            <w:tcW w:w="3688" w:type="dxa"/>
            <w:shd w:val="clear" w:color="auto" w:fill="auto"/>
            <w:hideMark/>
          </w:tcPr>
          <w:p w14:paraId="2C78F337" w14:textId="5B4BA475" w:rsidR="009D5AB3" w:rsidRPr="00946122" w:rsidRDefault="00420B1D" w:rsidP="00420B1D">
            <w:pPr>
              <w:spacing w:after="0" w:line="240" w:lineRule="auto"/>
              <w:jc w:val="both"/>
              <w:rPr>
                <w:rFonts w:ascii="Cambria" w:eastAsia="Times New Roman" w:hAnsi="Cambria" w:cs="Calibri"/>
                <w:color w:val="000000"/>
                <w:sz w:val="18"/>
                <w:szCs w:val="18"/>
                <w:lang w:eastAsia="pt-BR"/>
              </w:rPr>
            </w:pPr>
            <w:r w:rsidRPr="00420B1D">
              <w:rPr>
                <w:rFonts w:ascii="Cambria" w:eastAsia="Times New Roman" w:hAnsi="Cambria" w:cs="Calibri"/>
                <w:b/>
                <w:bCs/>
                <w:color w:val="000000"/>
                <w:sz w:val="18"/>
                <w:szCs w:val="18"/>
                <w:lang w:eastAsia="pt-BR"/>
              </w:rPr>
              <w:t>CAIXA PLÁSTICA</w:t>
            </w:r>
            <w:r w:rsidRPr="00420B1D">
              <w:rPr>
                <w:rFonts w:ascii="Cambria" w:eastAsia="Times New Roman" w:hAnsi="Cambria" w:cs="Calibri"/>
                <w:color w:val="000000"/>
                <w:sz w:val="18"/>
                <w:szCs w:val="18"/>
                <w:lang w:eastAsia="pt-BR"/>
              </w:rPr>
              <w:t xml:space="preserve">, </w:t>
            </w:r>
            <w:proofErr w:type="gramStart"/>
            <w:r w:rsidRPr="00420B1D">
              <w:rPr>
                <w:rFonts w:ascii="Cambria" w:eastAsia="Times New Roman" w:hAnsi="Cambria" w:cs="Calibri"/>
                <w:color w:val="000000"/>
                <w:sz w:val="18"/>
                <w:szCs w:val="18"/>
                <w:lang w:eastAsia="pt-BR"/>
              </w:rPr>
              <w:t>MATERIAL:</w:t>
            </w:r>
            <w:proofErr w:type="gramEnd"/>
            <w:r w:rsidRPr="00420B1D">
              <w:rPr>
                <w:rFonts w:ascii="Cambria" w:eastAsia="Times New Roman" w:hAnsi="Cambria" w:cs="Calibri"/>
                <w:color w:val="000000"/>
                <w:sz w:val="18"/>
                <w:szCs w:val="18"/>
                <w:lang w:eastAsia="pt-BR"/>
              </w:rPr>
              <w:t xml:space="preserve">POLIPROPILENO ALTA DENSIDADE, COMPRIMENTO:34 CM, LARGURA:22 CM, ALTURA:17,50 CM, APLICAÇÃO:ORGANIZADOR MATERIAIS, COR:PRETA, CARACTERÍSTICAS ADICIONAIS:TRAVA LATERAL, TIPO:BIN, MODELO:NÚMERO 7. </w:t>
            </w:r>
            <w:r w:rsidRPr="00420B1D">
              <w:rPr>
                <w:rFonts w:ascii="Cambria" w:eastAsia="Times New Roman" w:hAnsi="Cambria" w:cs="Calibri"/>
                <w:b/>
                <w:bCs/>
                <w:color w:val="000000"/>
                <w:sz w:val="18"/>
                <w:szCs w:val="18"/>
                <w:lang w:eastAsia="pt-BR"/>
              </w:rPr>
              <w:t>CATMAT 374391</w:t>
            </w:r>
            <w:r>
              <w:rPr>
                <w:rFonts w:ascii="Cambria" w:eastAsia="Times New Roman" w:hAnsi="Cambria" w:cs="Calibri"/>
                <w:b/>
                <w:bCs/>
                <w:color w:val="000000"/>
                <w:sz w:val="18"/>
                <w:szCs w:val="18"/>
                <w:lang w:eastAsia="pt-BR"/>
              </w:rPr>
              <w:t>.</w:t>
            </w:r>
          </w:p>
        </w:tc>
        <w:tc>
          <w:tcPr>
            <w:tcW w:w="760" w:type="dxa"/>
            <w:shd w:val="clear" w:color="auto" w:fill="auto"/>
            <w:vAlign w:val="center"/>
            <w:hideMark/>
          </w:tcPr>
          <w:p w14:paraId="37174E56" w14:textId="77777777" w:rsidR="009D5AB3" w:rsidRPr="00420B1D" w:rsidRDefault="009D5AB3" w:rsidP="009D5AB3">
            <w:pPr>
              <w:spacing w:after="0" w:line="240" w:lineRule="auto"/>
              <w:jc w:val="center"/>
              <w:rPr>
                <w:rFonts w:ascii="Cambria" w:eastAsia="Times New Roman" w:hAnsi="Cambria" w:cs="Arial"/>
                <w:color w:val="000000"/>
                <w:sz w:val="18"/>
                <w:szCs w:val="18"/>
                <w:lang w:eastAsia="pt-BR"/>
              </w:rPr>
            </w:pPr>
            <w:r w:rsidRPr="00420B1D">
              <w:rPr>
                <w:rFonts w:ascii="Cambria" w:eastAsia="Times New Roman" w:hAnsi="Cambria" w:cs="Arial"/>
                <w:color w:val="000000"/>
                <w:sz w:val="18"/>
                <w:szCs w:val="18"/>
                <w:lang w:eastAsia="pt-BR"/>
              </w:rPr>
              <w:t>UND</w:t>
            </w:r>
          </w:p>
        </w:tc>
        <w:tc>
          <w:tcPr>
            <w:tcW w:w="960" w:type="dxa"/>
            <w:shd w:val="clear" w:color="auto" w:fill="auto"/>
            <w:noWrap/>
            <w:vAlign w:val="center"/>
            <w:hideMark/>
          </w:tcPr>
          <w:p w14:paraId="14250C6A" w14:textId="77777777" w:rsidR="009D5AB3" w:rsidRPr="00420B1D" w:rsidRDefault="009D5AB3" w:rsidP="009D5AB3">
            <w:pPr>
              <w:spacing w:after="0" w:line="240" w:lineRule="auto"/>
              <w:jc w:val="center"/>
              <w:rPr>
                <w:rFonts w:ascii="Cambria" w:eastAsia="Times New Roman" w:hAnsi="Cambria" w:cs="Calibri"/>
                <w:color w:val="000000"/>
                <w:sz w:val="18"/>
                <w:szCs w:val="18"/>
                <w:lang w:eastAsia="pt-BR"/>
              </w:rPr>
            </w:pPr>
            <w:r w:rsidRPr="00420B1D">
              <w:rPr>
                <w:rFonts w:ascii="Cambria" w:eastAsia="Times New Roman" w:hAnsi="Cambria" w:cs="Calibri"/>
                <w:color w:val="000000"/>
                <w:sz w:val="18"/>
                <w:szCs w:val="18"/>
                <w:lang w:eastAsia="pt-BR"/>
              </w:rPr>
              <w:t>1.050</w:t>
            </w:r>
          </w:p>
        </w:tc>
        <w:tc>
          <w:tcPr>
            <w:tcW w:w="960" w:type="dxa"/>
            <w:shd w:val="clear" w:color="auto" w:fill="auto"/>
            <w:vAlign w:val="center"/>
            <w:hideMark/>
          </w:tcPr>
          <w:p w14:paraId="6C5A09CF" w14:textId="77777777" w:rsidR="009D5AB3" w:rsidRPr="00946122" w:rsidRDefault="009D5AB3" w:rsidP="009D5AB3">
            <w:pPr>
              <w:spacing w:after="0" w:line="240" w:lineRule="auto"/>
              <w:jc w:val="center"/>
              <w:rPr>
                <w:rFonts w:ascii="Cambria" w:eastAsia="Times New Roman" w:hAnsi="Cambria" w:cs="Calibri"/>
                <w:color w:val="000000"/>
                <w:sz w:val="18"/>
                <w:szCs w:val="18"/>
                <w:lang w:eastAsia="pt-BR"/>
              </w:rPr>
            </w:pPr>
            <w:r w:rsidRPr="00946122">
              <w:rPr>
                <w:rFonts w:ascii="Cambria" w:eastAsia="Times New Roman" w:hAnsi="Cambria" w:cs="Calibri"/>
                <w:color w:val="000000"/>
                <w:sz w:val="18"/>
                <w:szCs w:val="18"/>
                <w:lang w:eastAsia="pt-BR"/>
              </w:rPr>
              <w:t xml:space="preserve"> R$</w:t>
            </w:r>
            <w:proofErr w:type="gramStart"/>
            <w:r w:rsidRPr="00946122">
              <w:rPr>
                <w:rFonts w:ascii="Cambria" w:eastAsia="Times New Roman" w:hAnsi="Cambria" w:cs="Calibri"/>
                <w:color w:val="000000"/>
                <w:sz w:val="18"/>
                <w:szCs w:val="18"/>
                <w:lang w:eastAsia="pt-BR"/>
              </w:rPr>
              <w:t xml:space="preserve">   </w:t>
            </w:r>
            <w:proofErr w:type="gramEnd"/>
            <w:r w:rsidRPr="00946122">
              <w:rPr>
                <w:rFonts w:ascii="Cambria" w:eastAsia="Times New Roman" w:hAnsi="Cambria" w:cs="Calibri"/>
                <w:color w:val="000000"/>
                <w:sz w:val="18"/>
                <w:szCs w:val="18"/>
                <w:lang w:eastAsia="pt-BR"/>
              </w:rPr>
              <w:t xml:space="preserve">35,79 </w:t>
            </w:r>
          </w:p>
        </w:tc>
        <w:tc>
          <w:tcPr>
            <w:tcW w:w="960" w:type="dxa"/>
            <w:shd w:val="clear" w:color="auto" w:fill="auto"/>
            <w:noWrap/>
            <w:vAlign w:val="center"/>
            <w:hideMark/>
          </w:tcPr>
          <w:p w14:paraId="55373918" w14:textId="77777777" w:rsidR="009D5AB3" w:rsidRPr="00946122" w:rsidRDefault="009D5AB3" w:rsidP="009D5AB3">
            <w:pPr>
              <w:spacing w:after="0" w:line="240" w:lineRule="auto"/>
              <w:jc w:val="center"/>
              <w:rPr>
                <w:rFonts w:ascii="Cambria" w:eastAsia="Times New Roman" w:hAnsi="Cambria" w:cs="Calibri"/>
                <w:color w:val="000000"/>
                <w:sz w:val="18"/>
                <w:szCs w:val="18"/>
                <w:lang w:eastAsia="pt-BR"/>
              </w:rPr>
            </w:pPr>
            <w:r w:rsidRPr="00946122">
              <w:rPr>
                <w:rFonts w:ascii="Cambria" w:eastAsia="Times New Roman" w:hAnsi="Cambria" w:cs="Calibri"/>
                <w:color w:val="000000"/>
                <w:sz w:val="18"/>
                <w:szCs w:val="18"/>
                <w:lang w:eastAsia="pt-BR"/>
              </w:rPr>
              <w:t xml:space="preserve"> R$</w:t>
            </w:r>
            <w:proofErr w:type="gramStart"/>
            <w:r w:rsidRPr="00946122">
              <w:rPr>
                <w:rFonts w:ascii="Cambria" w:eastAsia="Times New Roman" w:hAnsi="Cambria" w:cs="Calibri"/>
                <w:color w:val="000000"/>
                <w:sz w:val="18"/>
                <w:szCs w:val="18"/>
                <w:lang w:eastAsia="pt-BR"/>
              </w:rPr>
              <w:t xml:space="preserve">   </w:t>
            </w:r>
            <w:proofErr w:type="gramEnd"/>
            <w:r w:rsidRPr="00946122">
              <w:rPr>
                <w:rFonts w:ascii="Cambria" w:eastAsia="Times New Roman" w:hAnsi="Cambria" w:cs="Calibri"/>
                <w:color w:val="000000"/>
                <w:sz w:val="18"/>
                <w:szCs w:val="18"/>
                <w:lang w:eastAsia="pt-BR"/>
              </w:rPr>
              <w:t xml:space="preserve">35,79 </w:t>
            </w:r>
          </w:p>
        </w:tc>
        <w:tc>
          <w:tcPr>
            <w:tcW w:w="1460" w:type="dxa"/>
            <w:gridSpan w:val="2"/>
            <w:shd w:val="clear" w:color="auto" w:fill="auto"/>
            <w:noWrap/>
            <w:vAlign w:val="center"/>
            <w:hideMark/>
          </w:tcPr>
          <w:p w14:paraId="429620F7" w14:textId="77777777" w:rsidR="009D5AB3" w:rsidRPr="00946122" w:rsidRDefault="009D5AB3" w:rsidP="009D5AB3">
            <w:pPr>
              <w:spacing w:after="0" w:line="240" w:lineRule="auto"/>
              <w:jc w:val="center"/>
              <w:rPr>
                <w:rFonts w:ascii="Cambria" w:eastAsia="Times New Roman" w:hAnsi="Cambria" w:cs="Calibri"/>
                <w:color w:val="000000"/>
                <w:sz w:val="18"/>
                <w:szCs w:val="18"/>
                <w:lang w:eastAsia="pt-BR"/>
              </w:rPr>
            </w:pPr>
            <w:r w:rsidRPr="00946122">
              <w:rPr>
                <w:rFonts w:ascii="Cambria" w:eastAsia="Times New Roman" w:hAnsi="Cambria" w:cs="Calibri"/>
                <w:color w:val="000000"/>
                <w:sz w:val="18"/>
                <w:szCs w:val="18"/>
                <w:lang w:eastAsia="pt-BR"/>
              </w:rPr>
              <w:t xml:space="preserve"> R$      37.579,50 </w:t>
            </w:r>
          </w:p>
        </w:tc>
      </w:tr>
      <w:tr w:rsidR="00946122" w:rsidRPr="00946122" w14:paraId="3AC343AA" w14:textId="77777777" w:rsidTr="00C40284">
        <w:trPr>
          <w:trHeight w:val="20"/>
        </w:trPr>
        <w:tc>
          <w:tcPr>
            <w:tcW w:w="7919" w:type="dxa"/>
            <w:gridSpan w:val="7"/>
            <w:shd w:val="clear" w:color="auto" w:fill="8496B0" w:themeFill="text2" w:themeFillTint="99"/>
            <w:vAlign w:val="center"/>
            <w:hideMark/>
          </w:tcPr>
          <w:p w14:paraId="07931BE8" w14:textId="4B7FC72F" w:rsidR="00946122" w:rsidRPr="00FD4B62" w:rsidRDefault="00946122" w:rsidP="00946122">
            <w:pPr>
              <w:spacing w:after="0" w:line="240" w:lineRule="auto"/>
              <w:jc w:val="right"/>
              <w:rPr>
                <w:rFonts w:ascii="Cambria" w:eastAsia="Times New Roman" w:hAnsi="Cambria" w:cs="Calibri"/>
                <w:b/>
                <w:bCs/>
                <w:color w:val="000000"/>
                <w:sz w:val="18"/>
                <w:szCs w:val="18"/>
                <w:lang w:eastAsia="pt-BR"/>
              </w:rPr>
            </w:pPr>
            <w:r w:rsidRPr="00FD4B62">
              <w:rPr>
                <w:rFonts w:ascii="Cambria" w:eastAsia="Times New Roman" w:hAnsi="Cambria" w:cs="Calibri"/>
                <w:b/>
                <w:bCs/>
                <w:color w:val="000000"/>
                <w:sz w:val="18"/>
                <w:szCs w:val="18"/>
                <w:lang w:eastAsia="pt-BR"/>
              </w:rPr>
              <w:t>VALOR TOTAL GLOBAL</w:t>
            </w:r>
          </w:p>
        </w:tc>
        <w:tc>
          <w:tcPr>
            <w:tcW w:w="1460" w:type="dxa"/>
            <w:gridSpan w:val="2"/>
            <w:shd w:val="clear" w:color="auto" w:fill="8496B0" w:themeFill="text2" w:themeFillTint="99"/>
            <w:noWrap/>
            <w:vAlign w:val="center"/>
            <w:hideMark/>
          </w:tcPr>
          <w:p w14:paraId="31A24F26" w14:textId="77777777" w:rsidR="00946122" w:rsidRPr="00946122" w:rsidRDefault="00946122" w:rsidP="009D5AB3">
            <w:pPr>
              <w:spacing w:after="0" w:line="240" w:lineRule="auto"/>
              <w:jc w:val="center"/>
              <w:rPr>
                <w:rFonts w:ascii="Cambria" w:eastAsia="Times New Roman" w:hAnsi="Cambria" w:cs="Calibri"/>
                <w:b/>
                <w:bCs/>
                <w:color w:val="000000"/>
                <w:sz w:val="18"/>
                <w:szCs w:val="18"/>
                <w:lang w:eastAsia="pt-BR"/>
              </w:rPr>
            </w:pPr>
            <w:r w:rsidRPr="00946122">
              <w:rPr>
                <w:rFonts w:ascii="Cambria" w:eastAsia="Times New Roman" w:hAnsi="Cambria" w:cs="Calibri"/>
                <w:b/>
                <w:bCs/>
                <w:color w:val="000000"/>
                <w:sz w:val="18"/>
                <w:szCs w:val="18"/>
                <w:lang w:eastAsia="pt-BR"/>
              </w:rPr>
              <w:t xml:space="preserve"> R$     37.579,50 </w:t>
            </w:r>
          </w:p>
        </w:tc>
      </w:tr>
    </w:tbl>
    <w:p w14:paraId="23DC4524" w14:textId="77777777" w:rsidR="009D5AB3" w:rsidRPr="00946122" w:rsidRDefault="009D5AB3" w:rsidP="002C7C85">
      <w:pPr>
        <w:pStyle w:val="TR-2"/>
        <w:numPr>
          <w:ilvl w:val="0"/>
          <w:numId w:val="0"/>
        </w:numPr>
        <w:ind w:left="357"/>
      </w:pPr>
    </w:p>
    <w:p w14:paraId="2CA132DB" w14:textId="77777777" w:rsidR="00C922E2" w:rsidRDefault="0051511B" w:rsidP="00DE2CF5">
      <w:pPr>
        <w:pStyle w:val="TR-1"/>
        <w:shd w:val="clear" w:color="auto" w:fill="8496B0" w:themeFill="text2" w:themeFillTint="99"/>
      </w:pPr>
      <w:r w:rsidRPr="0051511B">
        <w:lastRenderedPageBreak/>
        <w:t>DO VALOR GLOBAL ESTIMADO</w:t>
      </w:r>
    </w:p>
    <w:p w14:paraId="2CA132DC" w14:textId="07D0922D" w:rsidR="009C7E04" w:rsidRPr="009D5AB3" w:rsidRDefault="009C7E04" w:rsidP="00E80B9D">
      <w:pPr>
        <w:pStyle w:val="TR-2"/>
      </w:pPr>
      <w:r w:rsidRPr="009D5AB3">
        <w:t xml:space="preserve">O valor total estimado </w:t>
      </w:r>
      <w:proofErr w:type="gramStart"/>
      <w:r w:rsidRPr="009D5AB3">
        <w:t>da presente</w:t>
      </w:r>
      <w:proofErr w:type="gramEnd"/>
      <w:r w:rsidRPr="009D5AB3">
        <w:t xml:space="preserve"> contratação é de </w:t>
      </w:r>
      <w:r w:rsidR="009D5AB3">
        <w:rPr>
          <w:b/>
        </w:rPr>
        <w:t>R$ 37.579,50</w:t>
      </w:r>
      <w:r w:rsidR="00C41C94" w:rsidRPr="009D5AB3">
        <w:t xml:space="preserve"> (</w:t>
      </w:r>
      <w:r w:rsidR="009D5AB3">
        <w:t>Trinta e sete mil, quinhentos e setenta e nove reais e cinquenta centavos</w:t>
      </w:r>
      <w:r w:rsidRPr="009D5AB3">
        <w:t>).</w:t>
      </w:r>
    </w:p>
    <w:p w14:paraId="2CA132DF" w14:textId="77777777" w:rsidR="00C922E2" w:rsidRDefault="0051511B" w:rsidP="00DE2CF5">
      <w:pPr>
        <w:pStyle w:val="TR-1"/>
        <w:shd w:val="clear" w:color="auto" w:fill="8496B0" w:themeFill="text2" w:themeFillTint="99"/>
      </w:pPr>
      <w:r w:rsidRPr="0051511B">
        <w:t>DA DOTAÇÃO ORÇAMENTÁRIA</w:t>
      </w:r>
    </w:p>
    <w:p w14:paraId="2CA132E0" w14:textId="77777777" w:rsidR="000072B1" w:rsidRPr="00242ECB" w:rsidRDefault="00AA48CE" w:rsidP="00235314">
      <w:pPr>
        <w:pStyle w:val="TR-2"/>
      </w:pPr>
      <w:r w:rsidRPr="00242ECB">
        <w:t>O</w:t>
      </w:r>
      <w:r w:rsidR="00270725" w:rsidRPr="00242ECB">
        <w:t>s recursos financeiros para fazer face às despesas da contratação correrão por</w:t>
      </w:r>
      <w:r w:rsidRPr="00242ECB">
        <w:t xml:space="preserve"> conta da secretaria contratante</w:t>
      </w:r>
      <w:r w:rsidR="00270725" w:rsidRPr="00242ECB">
        <w:t>, cujo elemento de despesa constará no respectivo contrato e nota de empenho, observando as condições estabelecidas no processo licitatório.</w:t>
      </w:r>
    </w:p>
    <w:p w14:paraId="34FF6D0C" w14:textId="77777777" w:rsidR="00DD5E82" w:rsidRPr="00242ECB" w:rsidRDefault="000072B1" w:rsidP="008B5779">
      <w:pPr>
        <w:pStyle w:val="TR-2"/>
      </w:pPr>
      <w:r w:rsidRPr="00242ECB">
        <w:t>As despes</w:t>
      </w:r>
      <w:r w:rsidR="00AA48CE" w:rsidRPr="00242ECB">
        <w:t>as para atender o presente objeto,</w:t>
      </w:r>
      <w:r w:rsidRPr="00242ECB">
        <w:t xml:space="preserve"> estão programadas em dotação orçamentária própria, prevista no orçamento do </w:t>
      </w:r>
      <w:r w:rsidR="00AA48CE" w:rsidRPr="00242ECB">
        <w:t>Município</w:t>
      </w:r>
      <w:r w:rsidRPr="00242ECB">
        <w:t>, na classificação abaixo</w:t>
      </w:r>
      <w:r w:rsidR="00AA48CE" w:rsidRPr="00242ECB">
        <w:t xml:space="preserve"> indicada</w:t>
      </w:r>
      <w:r w:rsidRPr="00242ECB">
        <w:t>:</w:t>
      </w:r>
    </w:p>
    <w:p w14:paraId="6E076B04" w14:textId="77777777" w:rsidR="00AC2233" w:rsidRPr="002039D8" w:rsidRDefault="00AC2233" w:rsidP="00AC2233">
      <w:pPr>
        <w:pStyle w:val="TR-2"/>
        <w:numPr>
          <w:ilvl w:val="0"/>
          <w:numId w:val="0"/>
        </w:numPr>
        <w:ind w:left="357"/>
        <w:rPr>
          <w:color w:val="FF0000"/>
        </w:rPr>
      </w:pPr>
    </w:p>
    <w:p w14:paraId="6B9C93BA" w14:textId="4E75F126" w:rsidR="00242ECB" w:rsidRPr="00242ECB" w:rsidRDefault="001B223E" w:rsidP="00242ECB">
      <w:pPr>
        <w:pStyle w:val="TR-3"/>
        <w:numPr>
          <w:ilvl w:val="0"/>
          <w:numId w:val="0"/>
        </w:numPr>
        <w:ind w:left="720"/>
      </w:pPr>
      <w:r w:rsidRPr="001B223E">
        <w:t>02.16</w:t>
      </w:r>
      <w:r w:rsidR="00242ECB" w:rsidRPr="001B223E">
        <w:t xml:space="preserve">1030100211.153 REEQUIPAMENTO DA UNIDADE - </w:t>
      </w:r>
      <w:proofErr w:type="gramStart"/>
      <w:r w:rsidR="00242ECB" w:rsidRPr="001B223E">
        <w:t>A.P.</w:t>
      </w:r>
      <w:proofErr w:type="gramEnd"/>
      <w:r w:rsidR="00242ECB" w:rsidRPr="001B223E">
        <w:t>S</w:t>
      </w:r>
    </w:p>
    <w:p w14:paraId="2CA132E7" w14:textId="70DC2C05" w:rsidR="000072B1" w:rsidRDefault="00242ECB" w:rsidP="00242ECB">
      <w:pPr>
        <w:pStyle w:val="TR-3"/>
        <w:numPr>
          <w:ilvl w:val="0"/>
          <w:numId w:val="0"/>
        </w:numPr>
        <w:ind w:left="720"/>
      </w:pPr>
      <w:r w:rsidRPr="00242ECB">
        <w:t>44905200 Equipamentos e Material Permanente</w:t>
      </w:r>
    </w:p>
    <w:p w14:paraId="4991B9EC" w14:textId="77777777" w:rsidR="00242ECB" w:rsidRDefault="00242ECB" w:rsidP="00242ECB">
      <w:pPr>
        <w:pStyle w:val="TR-3"/>
        <w:numPr>
          <w:ilvl w:val="0"/>
          <w:numId w:val="0"/>
        </w:numPr>
        <w:ind w:left="720"/>
      </w:pPr>
    </w:p>
    <w:p w14:paraId="021B28BC" w14:textId="77777777" w:rsidR="00242ECB" w:rsidRPr="00242ECB" w:rsidRDefault="00242ECB" w:rsidP="00242ECB">
      <w:pPr>
        <w:pStyle w:val="TR-3"/>
        <w:numPr>
          <w:ilvl w:val="0"/>
          <w:numId w:val="0"/>
        </w:numPr>
        <w:ind w:left="720"/>
        <w:rPr>
          <w:highlight w:val="yellow"/>
        </w:rPr>
      </w:pPr>
    </w:p>
    <w:p w14:paraId="2CA132E8" w14:textId="77777777" w:rsidR="00002B9B" w:rsidRDefault="0051511B" w:rsidP="00DE2CF5">
      <w:pPr>
        <w:pStyle w:val="TR-1"/>
        <w:shd w:val="clear" w:color="auto" w:fill="8496B0" w:themeFill="text2" w:themeFillTint="99"/>
      </w:pPr>
      <w:r w:rsidRPr="0051511B">
        <w:t>DA PROPOSTA DE PREÇOS</w:t>
      </w:r>
    </w:p>
    <w:p w14:paraId="2CA132E9" w14:textId="77777777" w:rsidR="00530D72" w:rsidRDefault="00530D72" w:rsidP="00002B9B">
      <w:pPr>
        <w:pStyle w:val="TR-2"/>
      </w:pPr>
      <w:r>
        <w:t>As propostas</w:t>
      </w:r>
      <w:r w:rsidR="0000706B">
        <w:t xml:space="preserve"> deverão ser apresentadas com os seguintes elementos:</w:t>
      </w:r>
    </w:p>
    <w:p w14:paraId="2CA132EA" w14:textId="77777777" w:rsidR="00530D72" w:rsidRDefault="00002B9B" w:rsidP="00002B9B">
      <w:pPr>
        <w:pStyle w:val="TR-3"/>
      </w:pPr>
      <w:r w:rsidRPr="00530D72">
        <w:t>Objeto, em descrição sucinta e clara;</w:t>
      </w:r>
    </w:p>
    <w:p w14:paraId="2CA132EB" w14:textId="77777777" w:rsidR="00530D72" w:rsidRDefault="00002B9B" w:rsidP="00002B9B">
      <w:pPr>
        <w:pStyle w:val="TR-3"/>
      </w:pPr>
      <w:r w:rsidRPr="00530D72">
        <w:t>Planilha de Quantitativos, Especificações e Preços</w:t>
      </w:r>
      <w:r w:rsidR="00530D72">
        <w:t xml:space="preserve"> e marcar dos produtos ofertados</w:t>
      </w:r>
      <w:r w:rsidRPr="00530D72">
        <w:t>;</w:t>
      </w:r>
    </w:p>
    <w:p w14:paraId="2CA132EC" w14:textId="77777777" w:rsidR="00DB4487" w:rsidRDefault="00002B9B" w:rsidP="00002B9B">
      <w:pPr>
        <w:pStyle w:val="TR-3"/>
      </w:pPr>
      <w:r w:rsidRPr="00DB4487">
        <w:t>Preços unitário, total e global, este último em algarismo e por extenso;</w:t>
      </w:r>
    </w:p>
    <w:p w14:paraId="2CA132ED" w14:textId="77777777" w:rsidR="00DB4487" w:rsidRDefault="00002B9B" w:rsidP="00002B9B">
      <w:pPr>
        <w:pStyle w:val="TR-3"/>
      </w:pPr>
      <w:r w:rsidRPr="00DB4487">
        <w:t>Garantia, quando for o caso;</w:t>
      </w:r>
    </w:p>
    <w:p w14:paraId="2CA132EE" w14:textId="77777777" w:rsidR="00DB4487" w:rsidRDefault="00002B9B" w:rsidP="00002B9B">
      <w:pPr>
        <w:pStyle w:val="TR-3"/>
      </w:pPr>
      <w:r w:rsidRPr="00DB4487">
        <w:t>Condições de pagamento;</w:t>
      </w:r>
    </w:p>
    <w:p w14:paraId="2CA132EF" w14:textId="77777777" w:rsidR="008029FE" w:rsidRDefault="00002B9B" w:rsidP="00002B9B">
      <w:pPr>
        <w:pStyle w:val="TR-3"/>
      </w:pPr>
      <w:r w:rsidRPr="00DB4487">
        <w:t>Prazo de Validade da Proposta de</w:t>
      </w:r>
      <w:r w:rsidR="00DB4487">
        <w:t xml:space="preserve"> no mínimo</w:t>
      </w:r>
      <w:r w:rsidRPr="00DB4487">
        <w:t xml:space="preserve"> 90</w:t>
      </w:r>
      <w:r w:rsidR="00DB4487">
        <w:t>(noventa)</w:t>
      </w:r>
      <w:r w:rsidRPr="00DB4487">
        <w:t xml:space="preserve"> dias;</w:t>
      </w:r>
    </w:p>
    <w:p w14:paraId="2CA132F0" w14:textId="77777777" w:rsidR="008029FE" w:rsidRDefault="00002B9B" w:rsidP="00002B9B">
      <w:pPr>
        <w:pStyle w:val="TR-3"/>
      </w:pPr>
      <w:r w:rsidRPr="008029FE">
        <w:t>Declaração de que no preço ofertado, estão incluídas todas as despesas diretas e indiretas, incidentes sobre o objeto licitado, até a sua entrega definitiva;</w:t>
      </w:r>
    </w:p>
    <w:p w14:paraId="2CA132F1" w14:textId="77777777" w:rsidR="008029FE" w:rsidRDefault="00002B9B" w:rsidP="00002B9B">
      <w:pPr>
        <w:pStyle w:val="TR-3"/>
      </w:pPr>
      <w:r w:rsidRPr="008029FE">
        <w:t>Assinatura do proponente.</w:t>
      </w:r>
    </w:p>
    <w:p w14:paraId="2CA132F2" w14:textId="77777777" w:rsidR="00235314" w:rsidRPr="008029FE" w:rsidRDefault="008029FE" w:rsidP="008029FE">
      <w:pPr>
        <w:pStyle w:val="TR-2"/>
      </w:pPr>
      <w:r>
        <w:t>Os p</w:t>
      </w:r>
      <w:r w:rsidR="00002B9B" w:rsidRPr="008029FE">
        <w:t>reços unitários e totais</w:t>
      </w:r>
      <w:r>
        <w:t xml:space="preserve"> deverão ser apresentados</w:t>
      </w:r>
      <w:r w:rsidR="00002B9B" w:rsidRPr="008029FE">
        <w:t xml:space="preserve"> em moeda corrente nacional, em algarismo com duas casas decimais após a </w:t>
      </w:r>
      <w:r>
        <w:t>vírgula</w:t>
      </w:r>
      <w:r w:rsidR="00002B9B" w:rsidRPr="008029FE">
        <w:t>.</w:t>
      </w:r>
    </w:p>
    <w:p w14:paraId="2CA132F3" w14:textId="77777777" w:rsidR="007F280A" w:rsidRDefault="0051511B" w:rsidP="00DE2CF5">
      <w:pPr>
        <w:pStyle w:val="TR-1"/>
        <w:shd w:val="clear" w:color="auto" w:fill="8496B0" w:themeFill="text2" w:themeFillTint="99"/>
      </w:pPr>
      <w:r w:rsidRPr="0051511B">
        <w:t>DAS AMOSTRAS</w:t>
      </w:r>
    </w:p>
    <w:p w14:paraId="2CA132F4" w14:textId="77777777" w:rsidR="007F280A" w:rsidRPr="00660D7C" w:rsidRDefault="00A25A46" w:rsidP="00A25A46">
      <w:pPr>
        <w:pStyle w:val="TR-2"/>
      </w:pPr>
      <w:r>
        <w:t xml:space="preserve">Será dispensada a apresentação </w:t>
      </w:r>
      <w:r w:rsidR="001E4DE9">
        <w:t>de amostra</w:t>
      </w:r>
      <w:r w:rsidRPr="00A25A46">
        <w:t xml:space="preserve"> </w:t>
      </w:r>
      <w:r>
        <w:t>d</w:t>
      </w:r>
      <w:r w:rsidRPr="00A25A46">
        <w:t>os itens objeto deste Termo de Referência</w:t>
      </w:r>
      <w:r>
        <w:t>.</w:t>
      </w:r>
    </w:p>
    <w:p w14:paraId="2CA132FC" w14:textId="77777777" w:rsidR="00027B00" w:rsidRDefault="0051511B" w:rsidP="00DE2CF5">
      <w:pPr>
        <w:pStyle w:val="TR-1"/>
        <w:shd w:val="clear" w:color="auto" w:fill="8496B0" w:themeFill="text2" w:themeFillTint="99"/>
      </w:pPr>
      <w:r w:rsidRPr="0051511B">
        <w:t>DA ENTREGA E CONDIÇÕES DE ACEITAÇÃO DO OBJETO</w:t>
      </w:r>
    </w:p>
    <w:p w14:paraId="2CA132FD" w14:textId="57C0E069" w:rsidR="00027B00" w:rsidRDefault="00027B00" w:rsidP="00027B00">
      <w:pPr>
        <w:pStyle w:val="TR-2"/>
      </w:pPr>
      <w:r w:rsidRPr="00027B00">
        <w:t xml:space="preserve">O prazo de entrega do objeto é </w:t>
      </w:r>
      <w:r w:rsidRPr="00393A3D">
        <w:t xml:space="preserve">de </w:t>
      </w:r>
      <w:r w:rsidR="00393A3D">
        <w:rPr>
          <w:b/>
        </w:rPr>
        <w:t>até 15</w:t>
      </w:r>
      <w:r w:rsidR="00957102" w:rsidRPr="00393A3D">
        <w:rPr>
          <w:b/>
        </w:rPr>
        <w:t xml:space="preserve"> (dias</w:t>
      </w:r>
      <w:r w:rsidRPr="00393A3D">
        <w:rPr>
          <w:b/>
        </w:rPr>
        <w:t>) dias</w:t>
      </w:r>
      <w:r w:rsidRPr="00027B00">
        <w:t xml:space="preserve">, contados a partir da data da Ordem de Fornecimento, em remessa parcelada, diretamente na </w:t>
      </w:r>
      <w:r w:rsidRPr="00027B00">
        <w:rPr>
          <w:b/>
        </w:rPr>
        <w:t xml:space="preserve">Secretaria de </w:t>
      </w:r>
      <w:r w:rsidR="00957102">
        <w:rPr>
          <w:b/>
        </w:rPr>
        <w:lastRenderedPageBreak/>
        <w:t>Saúde</w:t>
      </w:r>
      <w:r w:rsidRPr="00027B00">
        <w:t>, conforme solicitação, nos horários previamente estabelecidos pelo</w:t>
      </w:r>
      <w:r w:rsidR="000E738D">
        <w:t xml:space="preserve"> setor competente da Secretaria.</w:t>
      </w:r>
    </w:p>
    <w:p w14:paraId="2CA132FE" w14:textId="77777777" w:rsidR="00027B00" w:rsidRDefault="00957102" w:rsidP="00027B00">
      <w:pPr>
        <w:pStyle w:val="TR-2"/>
      </w:pPr>
      <w:r>
        <w:t>A Secretaria de Saúde</w:t>
      </w:r>
      <w:r w:rsidR="00027B00" w:rsidRPr="00027B00">
        <w:t xml:space="preserve"> formalizará a solicitação do fornecimento do objeto à Contratada por e-mail oficial informado no ato da assinatura do contrato, fazendo constar na solicitação: o quantitativo e os respectivos locais de entrega.</w:t>
      </w:r>
    </w:p>
    <w:p w14:paraId="2CA132FF" w14:textId="77777777" w:rsidR="00027B00" w:rsidRDefault="00027B00" w:rsidP="00027B00">
      <w:pPr>
        <w:pStyle w:val="TR-2"/>
      </w:pPr>
      <w:r w:rsidRPr="00027B00">
        <w:t>Os iten</w:t>
      </w:r>
      <w:r w:rsidR="00957102">
        <w:t xml:space="preserve">s serão recebidos no prazo de </w:t>
      </w:r>
      <w:proofErr w:type="gramStart"/>
      <w:r w:rsidR="00957102">
        <w:t>8</w:t>
      </w:r>
      <w:proofErr w:type="gramEnd"/>
      <w:r w:rsidRPr="00027B00">
        <w:t xml:space="preserve"> (oito) dias, pelo (a) responsável pelo acompanhamento e fiscalização do contrato, para verificação de sua conformidade com as especificações constantes neste Termo de Referência e na proposta.</w:t>
      </w:r>
    </w:p>
    <w:p w14:paraId="2CA13300" w14:textId="77777777" w:rsidR="00027B00" w:rsidRDefault="00027B00" w:rsidP="00027B00">
      <w:pPr>
        <w:pStyle w:val="TR-2"/>
      </w:pPr>
      <w:r w:rsidRPr="00027B00">
        <w:t>Na hipótese de a verificação a que se refere o subitem anterior não ser procedida dentro do prazo fixado de 08 (oito) dias, reputar-se-á como realizada, consumando-se o recebimento definitivo no dia do esgotamento do prazo</w:t>
      </w:r>
      <w:r w:rsidR="000E738D">
        <w:t>.</w:t>
      </w:r>
    </w:p>
    <w:p w14:paraId="2CA13301" w14:textId="77777777" w:rsidR="00480A15" w:rsidRDefault="00027B00" w:rsidP="00027B00">
      <w:pPr>
        <w:pStyle w:val="TR-2"/>
      </w:pPr>
      <w:r w:rsidRPr="00027B00">
        <w:t>Os objetos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2CA13302" w14:textId="77777777" w:rsidR="00480A15" w:rsidRDefault="00027B00" w:rsidP="00027B00">
      <w:pPr>
        <w:pStyle w:val="TR-2"/>
      </w:pPr>
      <w:r w:rsidRPr="00480A15">
        <w:t>Os objetos serão recebidos definitivamente, após a verificação da qualidade e quantidade do material e consequente aceitação mediante termo circunstanciado.</w:t>
      </w:r>
    </w:p>
    <w:p w14:paraId="2CA13303" w14:textId="77777777" w:rsidR="00E61AC6" w:rsidRPr="00480A15" w:rsidRDefault="00027B00" w:rsidP="00027B00">
      <w:pPr>
        <w:pStyle w:val="TR-2"/>
      </w:pPr>
      <w:r w:rsidRPr="00480A15">
        <w:t>O recebimento provisório ou definitivo do objeto não exclui a responsabilidade da contratada pelos prejuízos resultantes da incorreta execução do contrato.</w:t>
      </w:r>
    </w:p>
    <w:p w14:paraId="2CA13304" w14:textId="77777777" w:rsidR="006C1E6C" w:rsidRDefault="0051511B" w:rsidP="00DE2CF5">
      <w:pPr>
        <w:pStyle w:val="TR-1"/>
        <w:shd w:val="clear" w:color="auto" w:fill="8496B0" w:themeFill="text2" w:themeFillTint="99"/>
      </w:pPr>
      <w:r w:rsidRPr="0051511B">
        <w:t>DO PRAZO DE VIGÊNCIA DA ATA DE REGISTRO DE PREÇOS</w:t>
      </w:r>
    </w:p>
    <w:p w14:paraId="2CA13305" w14:textId="77777777" w:rsidR="00E61AC6" w:rsidRPr="006C1E6C" w:rsidRDefault="006C1E6C" w:rsidP="00E61AC6">
      <w:pPr>
        <w:pStyle w:val="TR-2"/>
      </w:pPr>
      <w:r w:rsidRPr="006C1E6C">
        <w:t xml:space="preserve">A ata de registro de preços originada a partir deste termo de referência terá </w:t>
      </w:r>
      <w:r w:rsidRPr="006C1E6C">
        <w:rPr>
          <w:b/>
        </w:rPr>
        <w:t>validade de 12 (doze) meses</w:t>
      </w:r>
      <w:r w:rsidRPr="006C1E6C">
        <w:t>, contados da sua assinatura, não podendo ser prorrogada, conforme dispõe o Art. 12 do Decreto Federal n° 7.892/2013 e suas alterações.</w:t>
      </w:r>
    </w:p>
    <w:p w14:paraId="2CA13306" w14:textId="77777777" w:rsidR="003861DD" w:rsidRDefault="0051511B" w:rsidP="00DE2CF5">
      <w:pPr>
        <w:pStyle w:val="TR-1"/>
        <w:shd w:val="clear" w:color="auto" w:fill="8496B0" w:themeFill="text2" w:themeFillTint="99"/>
      </w:pPr>
      <w:r w:rsidRPr="0051511B">
        <w:t>DO ÓRGÃO GESTOR DO SISTEMA DE REGISTRO DE PREÇOS</w:t>
      </w:r>
    </w:p>
    <w:p w14:paraId="2CA13307" w14:textId="77777777" w:rsidR="003861DD" w:rsidRDefault="003861DD" w:rsidP="003861DD">
      <w:pPr>
        <w:pStyle w:val="TR-2"/>
      </w:pPr>
      <w:r w:rsidRPr="003861DD">
        <w:t xml:space="preserve">A </w:t>
      </w:r>
      <w:r w:rsidR="00957102">
        <w:rPr>
          <w:b/>
        </w:rPr>
        <w:t>Secretaria de Saúde</w:t>
      </w:r>
      <w:r w:rsidRPr="003861DD">
        <w:t xml:space="preserve"> é órgão gestor da ata de registro de preços e deverá:</w:t>
      </w:r>
    </w:p>
    <w:p w14:paraId="2CA13308" w14:textId="77777777" w:rsidR="003861DD" w:rsidRDefault="003861DD" w:rsidP="003861DD">
      <w:pPr>
        <w:pStyle w:val="TR-3"/>
      </w:pPr>
      <w:r w:rsidRPr="003861DD">
        <w:t xml:space="preserve">Assinar a ata de registro de preços; </w:t>
      </w:r>
    </w:p>
    <w:p w14:paraId="2CA13309" w14:textId="77777777" w:rsidR="003861DD" w:rsidRDefault="003861DD" w:rsidP="003861DD">
      <w:pPr>
        <w:pStyle w:val="TR-3"/>
      </w:pPr>
      <w:r w:rsidRPr="003861DD">
        <w:t>Providenciar a publicação inicial do extrat</w:t>
      </w:r>
      <w:r>
        <w:t>o da ata de registro de preços</w:t>
      </w:r>
    </w:p>
    <w:p w14:paraId="2CA1330A" w14:textId="77777777" w:rsidR="003861DD" w:rsidRDefault="003861DD" w:rsidP="003861DD">
      <w:pPr>
        <w:pStyle w:val="TR-3"/>
      </w:pPr>
      <w:r w:rsidRPr="003861DD">
        <w:t xml:space="preserve">Autorizar os órgãos e entidades participantes e não participantes do registro de preços a firmar os contratos de adesão; </w:t>
      </w:r>
    </w:p>
    <w:p w14:paraId="2CA1330B" w14:textId="77777777" w:rsidR="003861DD" w:rsidRDefault="003861DD" w:rsidP="003861DD">
      <w:pPr>
        <w:pStyle w:val="TR-3"/>
      </w:pPr>
      <w:r w:rsidRPr="003861DD">
        <w:t xml:space="preserve">Manter o controle dos quantitativos disponíveis dos registros de preços; </w:t>
      </w:r>
    </w:p>
    <w:p w14:paraId="2CA1330C" w14:textId="77777777" w:rsidR="001154FC" w:rsidRDefault="003861DD" w:rsidP="003861DD">
      <w:pPr>
        <w:pStyle w:val="TR-3"/>
      </w:pPr>
      <w:r w:rsidRPr="003861DD">
        <w:t xml:space="preserve">Verificar, periodicamente, a </w:t>
      </w:r>
      <w:proofErr w:type="spellStart"/>
      <w:r w:rsidRPr="003861DD">
        <w:t>vantajosidade</w:t>
      </w:r>
      <w:proofErr w:type="spellEnd"/>
      <w:r w:rsidRPr="003861DD">
        <w:t xml:space="preserve"> dos itens objeto da Ata de Registro de Preço; </w:t>
      </w:r>
    </w:p>
    <w:p w14:paraId="2CA1330D" w14:textId="77777777" w:rsidR="00E61AC6" w:rsidRPr="00430EDD" w:rsidRDefault="003861DD" w:rsidP="00E61AC6">
      <w:pPr>
        <w:pStyle w:val="TR-3"/>
      </w:pPr>
      <w:r w:rsidRPr="001154FC">
        <w:t>Aplicar, a qualquer momento, as penalidades previstas na Ata de Registro de Preço.</w:t>
      </w:r>
    </w:p>
    <w:p w14:paraId="2CA1330E" w14:textId="77777777" w:rsidR="00430EDD" w:rsidRDefault="0051511B" w:rsidP="00DE2CF5">
      <w:pPr>
        <w:pStyle w:val="TR-1"/>
        <w:shd w:val="clear" w:color="auto" w:fill="8496B0" w:themeFill="text2" w:themeFillTint="99"/>
      </w:pPr>
      <w:r w:rsidRPr="0051511B">
        <w:t>DAS ADESÕES POR ÓRGÃOS NÃO PARTICIPANTES</w:t>
      </w:r>
    </w:p>
    <w:p w14:paraId="2CA1330F" w14:textId="77777777" w:rsidR="00430EDD" w:rsidRDefault="00430EDD" w:rsidP="00430EDD">
      <w:pPr>
        <w:pStyle w:val="TR-2"/>
      </w:pPr>
      <w:r w:rsidRPr="00430EDD">
        <w:lastRenderedPageBreak/>
        <w:t>Desde que devidamente justificada a vantagem, a Ata de Registro de Preços, durante sua vigência, pode ser utilizada por qualquer órgão ou entidade da Administração Pública que não tenha participado do certame licitatório, mediante anuência do Órgão Gerenciador e em observância aos limites quantitativos dos itens estipulados no § 4º do art. 22, do Decreto Federal n° 7.892/2013 e suas alterações;</w:t>
      </w:r>
    </w:p>
    <w:p w14:paraId="2CA13310" w14:textId="77777777" w:rsidR="00430EDD" w:rsidRDefault="00430EDD" w:rsidP="00430EDD">
      <w:pPr>
        <w:pStyle w:val="TR-2"/>
      </w:pPr>
      <w:r w:rsidRPr="00430EDD">
        <w:t>As adesões por órgão/entidades não participantes não poderão exceder, por órgão ou entidade, a cinquenta por cento dos quantitativos dos itens do instrumento convocatório e registrados na ata de registro de preços para o órgão gerenciador e para os órgãos participantes, conforme dispõe o § 3º do art. 22, do Decreto Federal n° 7.892/2013 e suas alterações;</w:t>
      </w:r>
    </w:p>
    <w:p w14:paraId="2CA13311" w14:textId="77777777" w:rsidR="00430EDD" w:rsidRDefault="00430EDD" w:rsidP="00430EDD">
      <w:pPr>
        <w:pStyle w:val="TR-2"/>
      </w:pPr>
      <w:r w:rsidRPr="00430EDD">
        <w:t>Os Órgãos e Entidades Não Participantes, quando desejarem fazer uso da Ata de Registro de Preços, devem consultar o Órgão Gerenciador, que se manifestará sobre a possibilidade de adesão, considerando se conveniente e oportuno, para indicar os possíveis Detentores da Ata e-respectivos preços a ser praticada, obedecidos a ordem de classificação;</w:t>
      </w:r>
    </w:p>
    <w:p w14:paraId="2CA13312" w14:textId="77777777" w:rsidR="00430EDD" w:rsidRDefault="00430EDD" w:rsidP="00430EDD">
      <w:pPr>
        <w:pStyle w:val="TR-2"/>
      </w:pPr>
      <w:r w:rsidRPr="00430EDD">
        <w:t>Cabe ao Detentor da Ata de Registro de Preços, observadas as condições nela estabelecidas, inclusive quanto às negociações promovidas pelo Órgão Gerenciador, optar pela aceitação ou não do fornecimento decorrente de adesão a um Órgão Não Participante, desde que não prejudique as obrigações presentes e futuras decorrentes da Ata, assumidas com o Órgão Gerenciador e Órgãos Participantes;</w:t>
      </w:r>
    </w:p>
    <w:p w14:paraId="2CA13313" w14:textId="77777777" w:rsidR="00E61AC6" w:rsidRPr="00430EDD" w:rsidRDefault="00430EDD" w:rsidP="00430EDD">
      <w:pPr>
        <w:pStyle w:val="TR-2"/>
      </w:pPr>
      <w:r w:rsidRPr="00430EDD">
        <w:t xml:space="preserve">As possíveis solicitações de adesão deverão ser encaminhadas para a </w:t>
      </w:r>
      <w:r w:rsidR="00957102">
        <w:rPr>
          <w:b/>
        </w:rPr>
        <w:t>Secretaria de Saúde</w:t>
      </w:r>
      <w:r w:rsidRPr="00430EDD">
        <w:t>, ÓRGÃO GESTOR, para autorização.</w:t>
      </w:r>
    </w:p>
    <w:p w14:paraId="2CA13314" w14:textId="77777777" w:rsidR="00C922E2" w:rsidRDefault="0051511B" w:rsidP="00DE2CF5">
      <w:pPr>
        <w:pStyle w:val="TR-1"/>
        <w:shd w:val="clear" w:color="auto" w:fill="8496B0" w:themeFill="text2" w:themeFillTint="99"/>
      </w:pPr>
      <w:r w:rsidRPr="0051511B">
        <w:t>DO PRAZO E VIGÊNCIA DO CONTRATO</w:t>
      </w:r>
    </w:p>
    <w:p w14:paraId="2CA13315" w14:textId="77777777" w:rsidR="00382A95" w:rsidRPr="0051511B" w:rsidRDefault="00382A95" w:rsidP="00382A95">
      <w:pPr>
        <w:pStyle w:val="TR-2"/>
      </w:pPr>
      <w:r w:rsidRPr="00382A95">
        <w:t>O prazo de vigência do instrumento contratual será de 12 (doze) meses, contados a partir da sua assinatura.</w:t>
      </w:r>
    </w:p>
    <w:p w14:paraId="2CA13316" w14:textId="77777777" w:rsidR="00480E76" w:rsidRDefault="0051511B" w:rsidP="00DE2CF5">
      <w:pPr>
        <w:pStyle w:val="TR-1"/>
        <w:shd w:val="clear" w:color="auto" w:fill="8496B0" w:themeFill="text2" w:themeFillTint="99"/>
      </w:pPr>
      <w:r w:rsidRPr="0051511B">
        <w:t>DAS OBRIGAÇÕES DA CONTRATADA</w:t>
      </w:r>
    </w:p>
    <w:p w14:paraId="2CA13317" w14:textId="77777777" w:rsidR="00382A95" w:rsidRDefault="00382A95" w:rsidP="00382A95">
      <w:pPr>
        <w:pStyle w:val="TR-2"/>
      </w:pPr>
      <w:r>
        <w:t>A CONTRATADA obrigar-se-á:</w:t>
      </w:r>
    </w:p>
    <w:p w14:paraId="2CA13318" w14:textId="77777777" w:rsidR="00382A95" w:rsidRDefault="00382A95" w:rsidP="00382A95">
      <w:pPr>
        <w:pStyle w:val="TR-3"/>
      </w:pPr>
      <w:r>
        <w:t xml:space="preserve">Efetuara entrega dos produtos no local determinado </w:t>
      </w:r>
      <w:proofErr w:type="gramStart"/>
      <w:r>
        <w:t>pelas Secretaria</w:t>
      </w:r>
      <w:proofErr w:type="gramEnd"/>
      <w:r>
        <w:t xml:space="preserve"> demandante, por meio de veículo adequado sendo vedado à utilização de meios alternativos de transporte;</w:t>
      </w:r>
    </w:p>
    <w:p w14:paraId="2CA13319" w14:textId="77777777" w:rsidR="00382A95" w:rsidRDefault="00382A95" w:rsidP="00382A95">
      <w:pPr>
        <w:pStyle w:val="TR-3"/>
      </w:pPr>
      <w:r>
        <w:t>Efetuar a entrega dos produtos nos horários determinados pela Secretaria demandante;</w:t>
      </w:r>
    </w:p>
    <w:p w14:paraId="2CA1331A" w14:textId="77777777" w:rsidR="00382A95" w:rsidRDefault="00382A95" w:rsidP="00382A95">
      <w:pPr>
        <w:pStyle w:val="TR-3"/>
      </w:pPr>
      <w:r>
        <w:t>Fornecer os produtos com qualidade e em conformidade com as especificações contidas neste Termo de Referência, cumprindo, rigorosamente, todas as Normas que regulamentam este tipo de fornecimento;</w:t>
      </w:r>
    </w:p>
    <w:p w14:paraId="2CA1331B" w14:textId="77777777" w:rsidR="00382A95" w:rsidRDefault="00382A95" w:rsidP="00382A95">
      <w:pPr>
        <w:pStyle w:val="TR-3"/>
      </w:pPr>
      <w:r>
        <w:t>A entrega deverá ser efetuada por funcionários devidamente fardados e com crachá de identificação para que possam ter acesso aos locais de destino.</w:t>
      </w:r>
    </w:p>
    <w:p w14:paraId="2CA1331C" w14:textId="77777777" w:rsidR="00382A95" w:rsidRDefault="00382A95" w:rsidP="00382A95">
      <w:pPr>
        <w:pStyle w:val="TR-3"/>
      </w:pPr>
      <w:r>
        <w:t>Realizar, sempre que necessário entrega aos sábados, respeitando os horários determinados pela Secretaria demandante, uma vez que podem acontecer situações emergenciais necessitando deste item;</w:t>
      </w:r>
    </w:p>
    <w:p w14:paraId="2CA1331D" w14:textId="77777777" w:rsidR="00382A95" w:rsidRDefault="00382A95" w:rsidP="00382A95">
      <w:pPr>
        <w:pStyle w:val="TR-3"/>
      </w:pPr>
      <w:r>
        <w:lastRenderedPageBreak/>
        <w:t>Manter durante toda a execução do contrato as condições de habilitação em compatibilidade com as obrigações assumidas no Termo de Referência e Edital.</w:t>
      </w:r>
    </w:p>
    <w:p w14:paraId="2CA1331E" w14:textId="77777777" w:rsidR="00382A95" w:rsidRDefault="00382A95" w:rsidP="00382A95">
      <w:pPr>
        <w:pStyle w:val="TR-3"/>
      </w:pPr>
      <w:r>
        <w:t>Reparar, corrigir, remover, reconstruir ou substituir, às suas expensas, no total ou em parte, o objeto do contrato em que se verificarem vícios, defeitos ou incorreções;</w:t>
      </w:r>
    </w:p>
    <w:p w14:paraId="2CA1331F" w14:textId="77777777" w:rsidR="00382A95" w:rsidRDefault="00382A95" w:rsidP="00382A95">
      <w:pPr>
        <w:pStyle w:val="TR-3"/>
      </w:pPr>
      <w:r>
        <w:t>Responder pelos danos causados diretamente à CONTRATANTE ou aos seus bens, ou ainda a terceiros, decorrentes de sua culpa ou dolo na execução do contrato;</w:t>
      </w:r>
    </w:p>
    <w:p w14:paraId="2CA13320" w14:textId="77777777" w:rsidR="00382A95" w:rsidRDefault="00382A95" w:rsidP="00382A95">
      <w:pPr>
        <w:pStyle w:val="TR-3"/>
      </w:pPr>
      <w:r>
        <w:t>Respeitar as normas de controle de bens e de fluxo de pessoas nas dependências da CONTRATANTE;</w:t>
      </w:r>
    </w:p>
    <w:p w14:paraId="2CA13321" w14:textId="77777777" w:rsidR="00382A95" w:rsidRDefault="00382A95" w:rsidP="00382A95">
      <w:pPr>
        <w:pStyle w:val="TR-3"/>
      </w:pPr>
      <w:r>
        <w:t>Indicar, no início da execução do contrato, endereço eletrônico institucional para recebimento de cópia da ordem de fornecimento e/ou quaisquer outros documentos/informações necessárias para a efetiva execução contratual;</w:t>
      </w:r>
    </w:p>
    <w:p w14:paraId="2CA13322" w14:textId="77777777" w:rsidR="00382A95" w:rsidRPr="0051511B" w:rsidRDefault="00382A95" w:rsidP="00382A95">
      <w:pPr>
        <w:pStyle w:val="TR-3"/>
      </w:pPr>
      <w:r>
        <w:t>Durante a execução do contrato, a CONTRATADA deverá informar à CONTRATANTE sobre eventuais alterações do endereço eletrônico institucional indicado no item anterior.</w:t>
      </w:r>
    </w:p>
    <w:p w14:paraId="2CA13323" w14:textId="77777777" w:rsidR="00480E76" w:rsidRDefault="0051511B" w:rsidP="00DE2CF5">
      <w:pPr>
        <w:pStyle w:val="TR-1"/>
        <w:shd w:val="clear" w:color="auto" w:fill="8496B0" w:themeFill="text2" w:themeFillTint="99"/>
      </w:pPr>
      <w:r w:rsidRPr="0051511B">
        <w:t>DAS OBRIGAÇÕES DA CONTRATANTE</w:t>
      </w:r>
    </w:p>
    <w:p w14:paraId="2CA13324" w14:textId="77777777" w:rsidR="00382A95" w:rsidRDefault="00382A95" w:rsidP="00382A95">
      <w:pPr>
        <w:pStyle w:val="TR-2"/>
      </w:pPr>
      <w:r>
        <w:t>CONTRATANTE obrigar-se-á:</w:t>
      </w:r>
    </w:p>
    <w:p w14:paraId="2CA13325" w14:textId="77777777" w:rsidR="00382A95" w:rsidRDefault="00382A95" w:rsidP="00382A95">
      <w:pPr>
        <w:pStyle w:val="TR-3"/>
      </w:pPr>
      <w:r>
        <w:t>Permitir a CONTRATADA o acesso às dependências para efetivação do fornecimento dos produtos no horário estabelecido pelas Secretarias demandantes;</w:t>
      </w:r>
    </w:p>
    <w:p w14:paraId="2CA13326" w14:textId="77777777" w:rsidR="00382A95" w:rsidRDefault="00382A95" w:rsidP="00382A95">
      <w:pPr>
        <w:pStyle w:val="TR-3"/>
      </w:pPr>
      <w:r>
        <w:t>Solicitar a imediata substituição dos itens quando for constatado qualquer tipo de irregularidade a exemplo de validade do produto ou ainda, na hipótese de verificação, no ato de sua entrega;</w:t>
      </w:r>
    </w:p>
    <w:p w14:paraId="2CA13327" w14:textId="77777777" w:rsidR="00382A95" w:rsidRDefault="00382A95" w:rsidP="00382A95">
      <w:pPr>
        <w:pStyle w:val="TR-3"/>
      </w:pPr>
      <w:r>
        <w:t>Convocar a qualquer momento a CONTRATADA para prestar esclarecimento ou sanar dúvidas decorrentes da entrega dos itens.</w:t>
      </w:r>
    </w:p>
    <w:p w14:paraId="2CA13328" w14:textId="77777777" w:rsidR="00382A95" w:rsidRDefault="00382A95" w:rsidP="00382A95">
      <w:pPr>
        <w:pStyle w:val="TR-3"/>
      </w:pPr>
      <w:r>
        <w:t>Oferecer todas as informações necessárias ao bom andamento do fornecimento;</w:t>
      </w:r>
    </w:p>
    <w:p w14:paraId="2CA13329" w14:textId="77777777" w:rsidR="00382A95" w:rsidRDefault="00382A95" w:rsidP="00382A95">
      <w:pPr>
        <w:pStyle w:val="TR-3"/>
      </w:pPr>
      <w:r>
        <w:t>Efetuar o pagamento nas condições e nos prazos estipulados;</w:t>
      </w:r>
    </w:p>
    <w:p w14:paraId="2CA1332A" w14:textId="77777777" w:rsidR="00382A95" w:rsidRPr="0051511B" w:rsidRDefault="00382A95" w:rsidP="00382A95">
      <w:pPr>
        <w:pStyle w:val="TR-3"/>
      </w:pPr>
      <w:r>
        <w:t>Designar servidor para fiscalizar, acompanhar e atestar a entregados itens estipulados no contrato.</w:t>
      </w:r>
    </w:p>
    <w:p w14:paraId="2CA1332B" w14:textId="77777777" w:rsidR="00480E76" w:rsidRDefault="0051511B" w:rsidP="00DE2CF5">
      <w:pPr>
        <w:pStyle w:val="TR-1"/>
        <w:shd w:val="clear" w:color="auto" w:fill="8496B0" w:themeFill="text2" w:themeFillTint="99"/>
      </w:pPr>
      <w:r w:rsidRPr="0051511B">
        <w:t>DA SUBCONTRATAÇÃO</w:t>
      </w:r>
    </w:p>
    <w:p w14:paraId="2CA1332C" w14:textId="77777777" w:rsidR="00EB2F4F" w:rsidRPr="0051511B" w:rsidRDefault="00EB2F4F" w:rsidP="00EB2F4F">
      <w:pPr>
        <w:pStyle w:val="TR-2"/>
      </w:pPr>
      <w:r w:rsidRPr="00EB2F4F">
        <w:t>Não será admitida a subc</w:t>
      </w:r>
      <w:r>
        <w:t>ontratação do objeto do presente instrumento</w:t>
      </w:r>
      <w:r w:rsidRPr="00EB2F4F">
        <w:t>.</w:t>
      </w:r>
    </w:p>
    <w:p w14:paraId="2CA1332D" w14:textId="77777777" w:rsidR="00480E76" w:rsidRDefault="0051511B" w:rsidP="00DE2CF5">
      <w:pPr>
        <w:pStyle w:val="TR-1"/>
        <w:shd w:val="clear" w:color="auto" w:fill="8496B0" w:themeFill="text2" w:themeFillTint="99"/>
      </w:pPr>
      <w:r w:rsidRPr="0051511B">
        <w:t>DO CONTROLE E FISCALIZAÇÃO DA EXECUÇÃO</w:t>
      </w:r>
    </w:p>
    <w:p w14:paraId="2CA1332E" w14:textId="77777777" w:rsidR="0086287B" w:rsidRDefault="0086287B" w:rsidP="0086287B">
      <w:pPr>
        <w:pStyle w:val="TR-2"/>
      </w:pPr>
      <w:r>
        <w:t xml:space="preserve">Nos termos do art. 67 da Lei nº 8.666, de 1993, será designado representante para acompanhar e fiscalizar a entrega dos bens, anotando em registro próprio todas as ocorrências relacionadas com a execução e determinando o que for necessário à regularização de falhas ou defeitos observados. A fiscalização de que trata este item não exclui nem reduz a responsabilidade da Contratada, inclusive perante terceiros, por </w:t>
      </w:r>
      <w:r>
        <w:lastRenderedPageBreak/>
        <w:t>qualquer irregularidade, ainda que resultante de imperfeições técnicas ou vícios redibitórios, e, na ocorrência desta, não implica em corresponsabilidade da Administração ou de seus agentes e prepostos, de conformidade com o art. 70 da Lei nº 8.666, de1993.</w:t>
      </w:r>
    </w:p>
    <w:p w14:paraId="2CA1332F" w14:textId="77777777" w:rsidR="0086287B" w:rsidRDefault="0086287B" w:rsidP="0086287B">
      <w:pPr>
        <w:pStyle w:val="TR-2"/>
      </w:pPr>
      <w: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CA13330" w14:textId="77777777" w:rsidR="0086287B" w:rsidRPr="0051511B" w:rsidRDefault="0086287B" w:rsidP="0086287B">
      <w:pPr>
        <w:pStyle w:val="TR-2"/>
      </w:pPr>
      <w:r>
        <w:t>A designação do fiscal do(s) contrato(s) originado</w:t>
      </w:r>
      <w:r w:rsidR="00507BD4">
        <w:t>(s)</w:t>
      </w:r>
      <w:r>
        <w:t xml:space="preserve"> a partir deste instrumento</w:t>
      </w:r>
      <w:proofErr w:type="gramStart"/>
      <w:r>
        <w:t>, deverão</w:t>
      </w:r>
      <w:proofErr w:type="gramEnd"/>
      <w:r>
        <w:t xml:space="preserve"> ser efetuadas em observância do disposto na </w:t>
      </w:r>
      <w:r w:rsidRPr="00A470E5">
        <w:rPr>
          <w:b/>
        </w:rPr>
        <w:t>RECOMENDAÇÃO ADMINISTRATIVA Nº 029/2021- CGM</w:t>
      </w:r>
      <w:r>
        <w:t>.</w:t>
      </w:r>
    </w:p>
    <w:p w14:paraId="2CA13331" w14:textId="77777777" w:rsidR="00B30F75" w:rsidRDefault="0051511B" w:rsidP="00DE2CF5">
      <w:pPr>
        <w:pStyle w:val="TR-1"/>
        <w:shd w:val="clear" w:color="auto" w:fill="8496B0" w:themeFill="text2" w:themeFillTint="99"/>
      </w:pPr>
      <w:r w:rsidRPr="0051511B">
        <w:t>DO PAGAMENTO</w:t>
      </w:r>
    </w:p>
    <w:p w14:paraId="2CA13332" w14:textId="77777777" w:rsidR="00686E6A" w:rsidRDefault="00686E6A" w:rsidP="00686E6A">
      <w:pPr>
        <w:pStyle w:val="TR-2"/>
      </w:pPr>
      <w:r>
        <w:t xml:space="preserve">O pagamento será realizado </w:t>
      </w:r>
      <w:r w:rsidRPr="00686E6A">
        <w:rPr>
          <w:b/>
        </w:rPr>
        <w:t>no prazo máximo de até 30 (trinta) dias</w:t>
      </w:r>
      <w:r>
        <w:t xml:space="preserve">, contados a partir do recebimento da Nota Fiscal ou Fatura, como devido atesto do Gestor responsável pelo acompanhamento da execução do Contrato, através de ordem bancária, para crédito em banco, agência e conta </w:t>
      </w:r>
      <w:proofErr w:type="gramStart"/>
      <w:r>
        <w:t>corrente indicados pelo contratado</w:t>
      </w:r>
      <w:proofErr w:type="gramEnd"/>
      <w:r>
        <w:t xml:space="preserve"> </w:t>
      </w:r>
    </w:p>
    <w:p w14:paraId="2CA13333" w14:textId="77777777" w:rsidR="00686E6A" w:rsidRDefault="00686E6A" w:rsidP="00686E6A">
      <w:pPr>
        <w:pStyle w:val="TR-2"/>
      </w:pPr>
      <w:r>
        <w:t xml:space="preserve">Os pagamentos de correntes de despesas cujos valores não ultrapassem o limite de que trata o inciso II do art. 24 da Lei 8.666, de 1993, poderão ser efetuados no prazo de até </w:t>
      </w:r>
      <w:proofErr w:type="gramStart"/>
      <w:r>
        <w:t>5</w:t>
      </w:r>
      <w:proofErr w:type="gramEnd"/>
      <w:r>
        <w:t xml:space="preserve"> (cinco) dias úteis, contados da data da apresentação da Nota Fiscal, nos termos do art. 5º, § 3º, da Leinº8.666,</w:t>
      </w:r>
      <w:r w:rsidR="004B2595">
        <w:t xml:space="preserve"> </w:t>
      </w:r>
      <w:r>
        <w:t>de1993.</w:t>
      </w:r>
    </w:p>
    <w:p w14:paraId="2CA13334" w14:textId="77777777" w:rsidR="00686E6A" w:rsidRDefault="00686E6A" w:rsidP="00387AEF">
      <w:pPr>
        <w:pStyle w:val="TR-3"/>
      </w:pPr>
      <w:r>
        <w:t>Considera-se ocorrido o recebimento da nota fiscal ou fatura no momento em que o órgão contratante atestar a execução do objeto do contrato.</w:t>
      </w:r>
    </w:p>
    <w:p w14:paraId="2CA13335" w14:textId="77777777" w:rsidR="00686E6A" w:rsidRDefault="00686E6A" w:rsidP="00686E6A">
      <w:pPr>
        <w:pStyle w:val="TR-2"/>
      </w:pPr>
      <w: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14:paraId="2CA13336" w14:textId="77777777" w:rsidR="00686E6A" w:rsidRDefault="00686E6A" w:rsidP="00387AEF">
      <w:pPr>
        <w:pStyle w:val="TR-3"/>
      </w:pPr>
      <w:r>
        <w:t>Constatando-se, junto ao SICAF, a situação de irregularidade do fornecedor contratado, deverão ser tomadas as providências previstas no do art. 31 da Instrução Normativa nº 3,</w:t>
      </w:r>
      <w:r w:rsidR="004B2595">
        <w:t xml:space="preserve"> </w:t>
      </w:r>
      <w:r>
        <w:t>de 26deabrilde2018.</w:t>
      </w:r>
    </w:p>
    <w:p w14:paraId="2CA13337" w14:textId="77777777" w:rsidR="00686E6A" w:rsidRDefault="00686E6A" w:rsidP="00686E6A">
      <w:pPr>
        <w:pStyle w:val="TR-2"/>
      </w:pPr>
      <w: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2CA13338" w14:textId="77777777" w:rsidR="00686E6A" w:rsidRDefault="00686E6A" w:rsidP="00686E6A">
      <w:pPr>
        <w:pStyle w:val="TR-2"/>
      </w:pPr>
      <w:r>
        <w:t>Será considerada data do pagamento o dia em que constar como emitida a ordem bancária para pagamento.</w:t>
      </w:r>
    </w:p>
    <w:p w14:paraId="2CA13339" w14:textId="77777777" w:rsidR="00686E6A" w:rsidRDefault="00686E6A" w:rsidP="00686E6A">
      <w:pPr>
        <w:pStyle w:val="TR-2"/>
      </w:pPr>
      <w:r>
        <w:lastRenderedPageBreak/>
        <w:t>Antes de cada pagamento à contratada, será realizada consulta ao SICAF para verificar a manutenção das condições de habilitação exigidas no edita.</w:t>
      </w:r>
    </w:p>
    <w:p w14:paraId="2CA1333A" w14:textId="77777777" w:rsidR="00686E6A" w:rsidRDefault="00686E6A" w:rsidP="00686E6A">
      <w:pPr>
        <w:pStyle w:val="TR-2"/>
      </w:pPr>
      <w:r>
        <w:t xml:space="preserve">Constatando-se, junto ao SICAF, a situação de irregularidade da contratada, será providenciada sua notificação, por escrito, para que, no prazo de </w:t>
      </w:r>
      <w:proofErr w:type="gramStart"/>
      <w:r>
        <w:t>5</w:t>
      </w:r>
      <w:proofErr w:type="gramEnd"/>
      <w:r>
        <w:t xml:space="preserve"> (cinco) dias úteis, regularize sua situação ou, no mesmo prazo, apresente sua defesa. O prazo poderá ser prorrogado uma vez, por igual período, a critério da contratante.</w:t>
      </w:r>
    </w:p>
    <w:p w14:paraId="2CA1333B" w14:textId="77777777" w:rsidR="00686E6A" w:rsidRDefault="00686E6A" w:rsidP="00686E6A">
      <w:pPr>
        <w:pStyle w:val="TR-2"/>
      </w:pPr>
      <w: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w:t>
      </w:r>
      <w:r w:rsidR="00387AEF">
        <w:t xml:space="preserve"> </w:t>
      </w:r>
      <w:r>
        <w:t>observado o disposto no art. 29, da Instrução Normativa nº 3, de 26 de abril de 2018.</w:t>
      </w:r>
    </w:p>
    <w:p w14:paraId="2CA1333C" w14:textId="77777777" w:rsidR="00686E6A" w:rsidRDefault="00686E6A" w:rsidP="00686E6A">
      <w:pPr>
        <w:pStyle w:val="TR-2"/>
      </w:pPr>
      <w:r>
        <w:t>Não havendo regularização ou sendo a defesa considerada improcedente, a contratante deverá comunicar aos órgãos responsáveis pela fiscalização da regularidade fiscal quanto à inadimplência da contratada,</w:t>
      </w:r>
      <w:r w:rsidR="00387AEF">
        <w:t xml:space="preserve"> </w:t>
      </w:r>
      <w:r>
        <w:t>bem como quanto à existência de pagamento a ser efetuado,</w:t>
      </w:r>
      <w:r w:rsidR="00387AEF">
        <w:t xml:space="preserve"> </w:t>
      </w:r>
      <w:r>
        <w:t>para que sejam acionados os meios pertinentes e necessários para garantir o recebimento de seus créditos.</w:t>
      </w:r>
    </w:p>
    <w:p w14:paraId="2CA1333D" w14:textId="77777777" w:rsidR="00686E6A" w:rsidRDefault="00686E6A" w:rsidP="00686E6A">
      <w:pPr>
        <w:pStyle w:val="TR-2"/>
      </w:pPr>
      <w:r>
        <w:t>Persistindo a irregularidade, a contratante deverá adotar as medidas necessárias à rescisão contratual nos autos do processo administrativo correspondente, assegurada à contratada a ampla defesa.</w:t>
      </w:r>
    </w:p>
    <w:p w14:paraId="2CA1333E" w14:textId="77777777" w:rsidR="00686E6A" w:rsidRDefault="00686E6A" w:rsidP="00686E6A">
      <w:pPr>
        <w:pStyle w:val="TR-2"/>
      </w:pPr>
      <w:r>
        <w:t>Havendo a efetiva execução do objeto, os pagamentos serão realizados normalmente, até que se decida pela rescisão do contrato, caso a contratada não regularize sua situação junto ao SICAF.</w:t>
      </w:r>
    </w:p>
    <w:p w14:paraId="2CA1333F" w14:textId="77777777" w:rsidR="00686E6A" w:rsidRDefault="00686E6A" w:rsidP="00387AEF">
      <w:pPr>
        <w:pStyle w:val="TR-3"/>
      </w:pPr>
      <w: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2CA13340" w14:textId="77777777" w:rsidR="00686E6A" w:rsidRDefault="00686E6A" w:rsidP="00686E6A">
      <w:pPr>
        <w:pStyle w:val="TR-2"/>
      </w:pPr>
      <w: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CA13341" w14:textId="77777777" w:rsidR="00686E6A" w:rsidRDefault="00686E6A" w:rsidP="00686E6A">
      <w:pPr>
        <w:pStyle w:val="TR-2"/>
      </w:pPr>
      <w: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2CA13342" w14:textId="77777777" w:rsidR="00686E6A" w:rsidRPr="00387AEF" w:rsidRDefault="00686E6A" w:rsidP="00387AEF">
      <w:pPr>
        <w:pStyle w:val="TR-2"/>
        <w:numPr>
          <w:ilvl w:val="0"/>
          <w:numId w:val="0"/>
        </w:numPr>
        <w:ind w:left="357"/>
        <w:rPr>
          <w:b/>
        </w:rPr>
      </w:pPr>
      <w:r w:rsidRPr="00387AEF">
        <w:rPr>
          <w:b/>
        </w:rPr>
        <w:t>EM=I x N x VP, sendo:</w:t>
      </w:r>
    </w:p>
    <w:p w14:paraId="2CA13343" w14:textId="77777777" w:rsidR="00686E6A" w:rsidRDefault="00686E6A" w:rsidP="00387AEF">
      <w:pPr>
        <w:pStyle w:val="TR-2"/>
        <w:numPr>
          <w:ilvl w:val="0"/>
          <w:numId w:val="0"/>
        </w:numPr>
        <w:ind w:left="357"/>
      </w:pPr>
      <w:r>
        <w:t>EM=Encargos moratórios;</w:t>
      </w:r>
    </w:p>
    <w:p w14:paraId="2CA13344" w14:textId="77777777" w:rsidR="00686E6A" w:rsidRDefault="00686E6A" w:rsidP="00387AEF">
      <w:pPr>
        <w:pStyle w:val="TR-2"/>
        <w:numPr>
          <w:ilvl w:val="0"/>
          <w:numId w:val="0"/>
        </w:numPr>
        <w:ind w:left="357"/>
      </w:pPr>
      <w:r>
        <w:t>N=Número de dias entre a data prevista para o pagamento e a do efetivo pagamento;</w:t>
      </w:r>
    </w:p>
    <w:p w14:paraId="2CA13345" w14:textId="77777777" w:rsidR="00686E6A" w:rsidRDefault="00686E6A" w:rsidP="00387AEF">
      <w:pPr>
        <w:pStyle w:val="TR-2"/>
        <w:numPr>
          <w:ilvl w:val="0"/>
          <w:numId w:val="0"/>
        </w:numPr>
        <w:ind w:left="357"/>
      </w:pPr>
      <w:r>
        <w:t>VP=Valor da parcela a ser paga.</w:t>
      </w:r>
    </w:p>
    <w:p w14:paraId="2CA13346" w14:textId="77777777" w:rsidR="00686E6A" w:rsidRDefault="00686E6A" w:rsidP="00387AEF">
      <w:pPr>
        <w:pStyle w:val="TR-2"/>
        <w:numPr>
          <w:ilvl w:val="0"/>
          <w:numId w:val="0"/>
        </w:numPr>
        <w:ind w:left="357"/>
      </w:pPr>
      <w:r>
        <w:t xml:space="preserve">I=Índice de compensação </w:t>
      </w:r>
      <w:proofErr w:type="gramStart"/>
      <w:r>
        <w:t>financeira, assim apurado</w:t>
      </w:r>
      <w:proofErr w:type="gramEnd"/>
      <w:r>
        <w:t>:</w:t>
      </w:r>
    </w:p>
    <w:tbl>
      <w:tblPr>
        <w:tblW w:w="3369" w:type="dxa"/>
        <w:tblInd w:w="284" w:type="dxa"/>
        <w:tblLook w:val="04A0" w:firstRow="1" w:lastRow="0" w:firstColumn="1" w:lastColumn="0" w:noHBand="0" w:noVBand="1"/>
      </w:tblPr>
      <w:tblGrid>
        <w:gridCol w:w="1101"/>
        <w:gridCol w:w="850"/>
        <w:gridCol w:w="1418"/>
      </w:tblGrid>
      <w:tr w:rsidR="00387AEF" w:rsidRPr="00734180" w14:paraId="2CA1334A" w14:textId="77777777" w:rsidTr="00387AEF">
        <w:trPr>
          <w:trHeight w:val="227"/>
        </w:trPr>
        <w:tc>
          <w:tcPr>
            <w:tcW w:w="1101" w:type="dxa"/>
            <w:vMerge w:val="restart"/>
            <w:shd w:val="clear" w:color="auto" w:fill="auto"/>
            <w:vAlign w:val="center"/>
          </w:tcPr>
          <w:p w14:paraId="2CA13347" w14:textId="77777777" w:rsidR="00387AEF" w:rsidRPr="00734180" w:rsidRDefault="00387AEF" w:rsidP="00387AEF">
            <w:pPr>
              <w:tabs>
                <w:tab w:val="left" w:pos="1701"/>
              </w:tabs>
              <w:spacing w:after="0" w:line="240" w:lineRule="auto"/>
              <w:jc w:val="center"/>
              <w:rPr>
                <w:rFonts w:ascii="Cambria" w:hAnsi="Cambria" w:cs="Cambria"/>
                <w:sz w:val="24"/>
                <w:szCs w:val="24"/>
              </w:rPr>
            </w:pPr>
            <w:r w:rsidRPr="00734180">
              <w:rPr>
                <w:rFonts w:ascii="Cambria" w:hAnsi="Cambria" w:cs="Cambria"/>
                <w:sz w:val="24"/>
                <w:szCs w:val="24"/>
              </w:rPr>
              <w:t>I = (TX)</w:t>
            </w:r>
          </w:p>
        </w:tc>
        <w:tc>
          <w:tcPr>
            <w:tcW w:w="850" w:type="dxa"/>
            <w:vMerge w:val="restart"/>
            <w:shd w:val="clear" w:color="auto" w:fill="auto"/>
            <w:vAlign w:val="center"/>
          </w:tcPr>
          <w:p w14:paraId="2CA13348" w14:textId="77777777" w:rsidR="00387AEF" w:rsidRPr="00734180" w:rsidRDefault="00387AEF" w:rsidP="00387AEF">
            <w:pPr>
              <w:tabs>
                <w:tab w:val="left" w:pos="1701"/>
              </w:tabs>
              <w:spacing w:after="0" w:line="240" w:lineRule="auto"/>
              <w:ind w:left="360"/>
              <w:rPr>
                <w:rFonts w:ascii="Cambria" w:hAnsi="Cambria" w:cs="Cambria"/>
                <w:sz w:val="24"/>
                <w:szCs w:val="24"/>
              </w:rPr>
            </w:pPr>
            <w:r w:rsidRPr="00734180">
              <w:rPr>
                <w:rFonts w:ascii="Cambria" w:hAnsi="Cambria" w:cs="Cambria"/>
                <w:sz w:val="24"/>
                <w:szCs w:val="24"/>
              </w:rPr>
              <w:t xml:space="preserve">I = </w:t>
            </w:r>
          </w:p>
        </w:tc>
        <w:tc>
          <w:tcPr>
            <w:tcW w:w="1418" w:type="dxa"/>
            <w:tcBorders>
              <w:bottom w:val="single" w:sz="4" w:space="0" w:color="000000"/>
            </w:tcBorders>
            <w:shd w:val="clear" w:color="auto" w:fill="auto"/>
          </w:tcPr>
          <w:p w14:paraId="2CA13349" w14:textId="77777777" w:rsidR="00387AEF" w:rsidRPr="00734180" w:rsidRDefault="00387AEF" w:rsidP="00387AEF">
            <w:pPr>
              <w:tabs>
                <w:tab w:val="left" w:pos="1701"/>
              </w:tabs>
              <w:spacing w:after="0" w:line="240" w:lineRule="auto"/>
              <w:jc w:val="center"/>
              <w:rPr>
                <w:rFonts w:ascii="Cambria" w:hAnsi="Cambria" w:cs="Cambria"/>
                <w:sz w:val="24"/>
                <w:szCs w:val="24"/>
              </w:rPr>
            </w:pPr>
            <w:proofErr w:type="gramStart"/>
            <w:r w:rsidRPr="00734180">
              <w:rPr>
                <w:rFonts w:ascii="Cambria" w:hAnsi="Cambria" w:cs="Cambria"/>
                <w:sz w:val="24"/>
                <w:szCs w:val="24"/>
              </w:rPr>
              <w:t xml:space="preserve">( </w:t>
            </w:r>
            <w:proofErr w:type="gramEnd"/>
            <w:r w:rsidRPr="00734180">
              <w:rPr>
                <w:rFonts w:ascii="Cambria" w:hAnsi="Cambria" w:cs="Cambria"/>
                <w:sz w:val="24"/>
                <w:szCs w:val="24"/>
              </w:rPr>
              <w:t>TX / 100 )</w:t>
            </w:r>
          </w:p>
        </w:tc>
      </w:tr>
      <w:tr w:rsidR="00387AEF" w:rsidRPr="00734180" w14:paraId="2CA1334E" w14:textId="77777777" w:rsidTr="00387AEF">
        <w:trPr>
          <w:trHeight w:val="227"/>
        </w:trPr>
        <w:tc>
          <w:tcPr>
            <w:tcW w:w="1101" w:type="dxa"/>
            <w:vMerge/>
            <w:shd w:val="clear" w:color="auto" w:fill="auto"/>
            <w:vAlign w:val="center"/>
          </w:tcPr>
          <w:p w14:paraId="2CA1334B" w14:textId="77777777" w:rsidR="00387AEF" w:rsidRPr="00734180" w:rsidRDefault="00387AEF" w:rsidP="00387AEF">
            <w:pPr>
              <w:tabs>
                <w:tab w:val="left" w:pos="1701"/>
              </w:tabs>
              <w:snapToGrid w:val="0"/>
              <w:spacing w:after="0" w:line="240" w:lineRule="auto"/>
              <w:ind w:left="360"/>
              <w:jc w:val="both"/>
              <w:rPr>
                <w:rFonts w:ascii="Cambria" w:hAnsi="Cambria" w:cs="Cambria"/>
                <w:sz w:val="24"/>
                <w:szCs w:val="24"/>
              </w:rPr>
            </w:pPr>
          </w:p>
        </w:tc>
        <w:tc>
          <w:tcPr>
            <w:tcW w:w="850" w:type="dxa"/>
            <w:vMerge/>
            <w:shd w:val="clear" w:color="auto" w:fill="auto"/>
            <w:vAlign w:val="center"/>
          </w:tcPr>
          <w:p w14:paraId="2CA1334C" w14:textId="77777777" w:rsidR="00387AEF" w:rsidRPr="00734180" w:rsidRDefault="00387AEF" w:rsidP="00387AEF">
            <w:pPr>
              <w:tabs>
                <w:tab w:val="left" w:pos="1701"/>
              </w:tabs>
              <w:snapToGrid w:val="0"/>
              <w:spacing w:after="0" w:line="240" w:lineRule="auto"/>
              <w:ind w:left="360"/>
              <w:jc w:val="both"/>
              <w:rPr>
                <w:rFonts w:ascii="Cambria" w:hAnsi="Cambria" w:cs="Cambria"/>
                <w:sz w:val="24"/>
                <w:szCs w:val="24"/>
              </w:rPr>
            </w:pPr>
          </w:p>
        </w:tc>
        <w:tc>
          <w:tcPr>
            <w:tcW w:w="1418" w:type="dxa"/>
            <w:tcBorders>
              <w:top w:val="single" w:sz="4" w:space="0" w:color="000000"/>
            </w:tcBorders>
            <w:shd w:val="clear" w:color="auto" w:fill="auto"/>
          </w:tcPr>
          <w:p w14:paraId="2CA1334D" w14:textId="77777777" w:rsidR="00387AEF" w:rsidRPr="00734180" w:rsidRDefault="00387AEF" w:rsidP="00387AEF">
            <w:pPr>
              <w:tabs>
                <w:tab w:val="left" w:pos="1701"/>
              </w:tabs>
              <w:spacing w:after="0" w:line="240" w:lineRule="auto"/>
              <w:jc w:val="center"/>
              <w:rPr>
                <w:rFonts w:ascii="Cambria" w:hAnsi="Cambria" w:cs="Cambria"/>
                <w:sz w:val="24"/>
                <w:szCs w:val="24"/>
              </w:rPr>
            </w:pPr>
            <w:r w:rsidRPr="00734180">
              <w:rPr>
                <w:rFonts w:ascii="Cambria" w:hAnsi="Cambria" w:cs="Cambria"/>
                <w:sz w:val="24"/>
                <w:szCs w:val="24"/>
              </w:rPr>
              <w:t>365</w:t>
            </w:r>
          </w:p>
        </w:tc>
      </w:tr>
    </w:tbl>
    <w:p w14:paraId="2CA1334F" w14:textId="77777777" w:rsidR="00686E6A" w:rsidRPr="0051511B" w:rsidRDefault="00686E6A" w:rsidP="00387AEF">
      <w:pPr>
        <w:pStyle w:val="TR-2"/>
        <w:numPr>
          <w:ilvl w:val="0"/>
          <w:numId w:val="0"/>
        </w:numPr>
        <w:ind w:left="357"/>
      </w:pPr>
      <w:r w:rsidRPr="00387AEF">
        <w:rPr>
          <w:b/>
        </w:rPr>
        <w:t>TX</w:t>
      </w:r>
      <w:r>
        <w:t xml:space="preserve"> = Percentual da taxa anual = Taxa </w:t>
      </w:r>
      <w:r w:rsidRPr="00387AEF">
        <w:rPr>
          <w:b/>
        </w:rPr>
        <w:t>SELIC</w:t>
      </w:r>
      <w:r>
        <w:t xml:space="preserve"> vigente no momento da apuração;</w:t>
      </w:r>
    </w:p>
    <w:p w14:paraId="2CA13350" w14:textId="77777777" w:rsidR="00B30F75" w:rsidRDefault="0051511B" w:rsidP="00DE2CF5">
      <w:pPr>
        <w:pStyle w:val="TR-1"/>
        <w:shd w:val="clear" w:color="auto" w:fill="8496B0" w:themeFill="text2" w:themeFillTint="99"/>
      </w:pPr>
      <w:r w:rsidRPr="0051511B">
        <w:t>DO REAJUSTE</w:t>
      </w:r>
    </w:p>
    <w:p w14:paraId="2CA13351" w14:textId="77777777" w:rsidR="00387AEF" w:rsidRPr="0051511B" w:rsidRDefault="00387AEF" w:rsidP="00387AEF">
      <w:pPr>
        <w:pStyle w:val="TR-2"/>
      </w:pPr>
      <w:r w:rsidRPr="00387AEF">
        <w:t>Os preços são fixos e irreajustáveis durante todo período da vigência do CONTRATO.</w:t>
      </w:r>
    </w:p>
    <w:p w14:paraId="2CA13352" w14:textId="77777777" w:rsidR="00B30F75" w:rsidRDefault="0051511B" w:rsidP="00DE2CF5">
      <w:pPr>
        <w:pStyle w:val="TR-1"/>
        <w:shd w:val="clear" w:color="auto" w:fill="8496B0" w:themeFill="text2" w:themeFillTint="99"/>
      </w:pPr>
      <w:r w:rsidRPr="0051511B">
        <w:t>DAS SANÇÕES ADMINISTRATIVAS</w:t>
      </w:r>
    </w:p>
    <w:p w14:paraId="2CA13353" w14:textId="77777777" w:rsidR="0009610C" w:rsidRDefault="0009610C" w:rsidP="0009610C">
      <w:pPr>
        <w:pStyle w:val="TR-2"/>
      </w:pPr>
      <w:r>
        <w:t>Comete infração administrativa nos termos da Lei nº 10.520, de 2002, a Contratada que:</w:t>
      </w:r>
    </w:p>
    <w:p w14:paraId="2CA13354" w14:textId="77777777" w:rsidR="0009610C" w:rsidRDefault="0009610C" w:rsidP="0009610C">
      <w:pPr>
        <w:pStyle w:val="TR-3"/>
      </w:pPr>
      <w:proofErr w:type="spellStart"/>
      <w:proofErr w:type="gramStart"/>
      <w:r>
        <w:t>inexecutar</w:t>
      </w:r>
      <w:proofErr w:type="spellEnd"/>
      <w:proofErr w:type="gramEnd"/>
      <w:r>
        <w:t xml:space="preserve"> total ou parcialmente qualquer das obrigações assumidas em decorrência da contratação;</w:t>
      </w:r>
    </w:p>
    <w:p w14:paraId="2CA13355" w14:textId="77777777" w:rsidR="0009610C" w:rsidRDefault="0009610C" w:rsidP="0009610C">
      <w:pPr>
        <w:pStyle w:val="TR-3"/>
      </w:pPr>
      <w:proofErr w:type="gramStart"/>
      <w:r>
        <w:t>ensejar</w:t>
      </w:r>
      <w:proofErr w:type="gramEnd"/>
      <w:r>
        <w:t xml:space="preserve"> o retardamento da execução do objeto;</w:t>
      </w:r>
    </w:p>
    <w:p w14:paraId="2CA13356" w14:textId="77777777" w:rsidR="0009610C" w:rsidRDefault="0009610C" w:rsidP="0009610C">
      <w:pPr>
        <w:pStyle w:val="TR-3"/>
      </w:pPr>
      <w:proofErr w:type="gramStart"/>
      <w:r>
        <w:t>falhar</w:t>
      </w:r>
      <w:proofErr w:type="gramEnd"/>
      <w:r>
        <w:t xml:space="preserve"> ou fraudar na execução do contrato;</w:t>
      </w:r>
    </w:p>
    <w:p w14:paraId="2CA13357" w14:textId="77777777" w:rsidR="0009610C" w:rsidRDefault="0009610C" w:rsidP="0009610C">
      <w:pPr>
        <w:pStyle w:val="TR-3"/>
      </w:pPr>
      <w:proofErr w:type="gramStart"/>
      <w:r>
        <w:t>comportar</w:t>
      </w:r>
      <w:proofErr w:type="gramEnd"/>
      <w:r>
        <w:t>-se de modo inidôneo;</w:t>
      </w:r>
    </w:p>
    <w:p w14:paraId="2CA13358" w14:textId="77777777" w:rsidR="0009610C" w:rsidRDefault="0009610C" w:rsidP="0009610C">
      <w:pPr>
        <w:pStyle w:val="TR-3"/>
      </w:pPr>
      <w:proofErr w:type="gramStart"/>
      <w:r>
        <w:t>cometer</w:t>
      </w:r>
      <w:proofErr w:type="gramEnd"/>
      <w:r>
        <w:t xml:space="preserve"> fraude fiscal;</w:t>
      </w:r>
    </w:p>
    <w:p w14:paraId="2CA13359" w14:textId="77777777" w:rsidR="0009610C" w:rsidRDefault="0009610C" w:rsidP="0009610C">
      <w:pPr>
        <w:pStyle w:val="TR-2"/>
      </w:pPr>
      <w:r>
        <w:t>Pela inexecução total ou parcial do objeto deste contrato, a Administração pode aplicar à CONTRATADA as seguintes sanções:</w:t>
      </w:r>
    </w:p>
    <w:p w14:paraId="2CA1335A" w14:textId="77777777" w:rsidR="0009610C" w:rsidRDefault="0009610C" w:rsidP="0009610C">
      <w:pPr>
        <w:pStyle w:val="TR-3"/>
      </w:pPr>
      <w:r>
        <w:t>Advertência, por faltas leves, assim entendidas aquelas que não acarretem prejuízos significativos para a Contratante;</w:t>
      </w:r>
    </w:p>
    <w:p w14:paraId="2CA1335B" w14:textId="77777777" w:rsidR="0009610C" w:rsidRDefault="0009610C" w:rsidP="0009610C">
      <w:pPr>
        <w:pStyle w:val="TR-3"/>
      </w:pPr>
      <w:proofErr w:type="gramStart"/>
      <w:r>
        <w:t>multa</w:t>
      </w:r>
      <w:proofErr w:type="gramEnd"/>
      <w:r>
        <w:t xml:space="preserve"> moratória de 2% (dois por cento) por dia de atraso injustificado sobre o valor da parcela inadimplida, até o limite de 30 (trinta) dias;</w:t>
      </w:r>
    </w:p>
    <w:p w14:paraId="2CA1335C" w14:textId="77777777" w:rsidR="0009610C" w:rsidRDefault="0009610C" w:rsidP="0009610C">
      <w:pPr>
        <w:pStyle w:val="TR-3"/>
      </w:pPr>
      <w:proofErr w:type="gramStart"/>
      <w:r>
        <w:t>multa</w:t>
      </w:r>
      <w:proofErr w:type="gramEnd"/>
      <w:r>
        <w:t xml:space="preserve"> compensatória de 5% (cinco por cento) sobre o valor total do contrato, no caso de inexecução total do objeto;</w:t>
      </w:r>
    </w:p>
    <w:p w14:paraId="2CA1335D" w14:textId="77777777" w:rsidR="0009610C" w:rsidRDefault="0009610C" w:rsidP="0009610C">
      <w:pPr>
        <w:pStyle w:val="TR-3"/>
      </w:pPr>
      <w:proofErr w:type="gramStart"/>
      <w:r>
        <w:t>em</w:t>
      </w:r>
      <w:proofErr w:type="gramEnd"/>
      <w:r>
        <w:t xml:space="preserve"> caso de inexecução parcial, a multa compensatória, no mesmo percentual do subitem acima, será aplicada de forma proporcional à obrigação inadimplida;</w:t>
      </w:r>
    </w:p>
    <w:p w14:paraId="2CA1335E" w14:textId="77777777" w:rsidR="0009610C" w:rsidRDefault="0009610C" w:rsidP="0009610C">
      <w:pPr>
        <w:pStyle w:val="TR-3"/>
      </w:pPr>
      <w:proofErr w:type="gramStart"/>
      <w:r>
        <w:t>suspensão</w:t>
      </w:r>
      <w:proofErr w:type="gramEnd"/>
      <w:r>
        <w:t xml:space="preserve"> de licitar e impedimento de contratar com o órgão, entidade ou unidade administrativa pela qual a Administração Pública opera e atua concretamente, pelo prazo de até dois anos; </w:t>
      </w:r>
    </w:p>
    <w:p w14:paraId="2CA1335F" w14:textId="77777777" w:rsidR="0009610C" w:rsidRDefault="0009610C" w:rsidP="0009610C">
      <w:pPr>
        <w:pStyle w:val="TR-3"/>
      </w:pPr>
      <w:proofErr w:type="gramStart"/>
      <w:r>
        <w:t>impedimento</w:t>
      </w:r>
      <w:proofErr w:type="gramEnd"/>
      <w:r>
        <w:t xml:space="preserve"> de licitar e contratar com órgãos e entidades da União com o consequente descredenciamento no SICAF pelo prazo de até cinco anos;</w:t>
      </w:r>
    </w:p>
    <w:p w14:paraId="2CA13360" w14:textId="77777777" w:rsidR="0009610C" w:rsidRDefault="0009610C" w:rsidP="0009610C">
      <w:pPr>
        <w:pStyle w:val="TR-4"/>
      </w:pPr>
      <w:r>
        <w:t>A Sanção de impedimento de licitar e contratar prevista neste subitem também é aplicável em quaisquer das hipóteses previstas como infração administrativa no subitem 20.1 deste Termo de Referência.</w:t>
      </w:r>
    </w:p>
    <w:p w14:paraId="2CA13361" w14:textId="77777777" w:rsidR="0009610C" w:rsidRDefault="0009610C" w:rsidP="0009610C">
      <w:pPr>
        <w:pStyle w:val="TR-3"/>
      </w:pPr>
      <w:proofErr w:type="gramStart"/>
      <w:r>
        <w:t>declaração</w:t>
      </w:r>
      <w:proofErr w:type="gramEnd"/>
      <w: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A13362" w14:textId="4C13368C" w:rsidR="0009610C" w:rsidRDefault="0009610C" w:rsidP="0009610C">
      <w:pPr>
        <w:pStyle w:val="TR-2"/>
      </w:pPr>
      <w:r>
        <w:lastRenderedPageBreak/>
        <w:t>As sanç</w:t>
      </w:r>
      <w:r w:rsidR="001B223E">
        <w:t>ões previstas nos subitens 19.2.1, 19.2.5, 19.2.6 e 19</w:t>
      </w:r>
      <w:r>
        <w:t>.2.7 poderão ser aplicadas à CONTRATADA juntamente com as de multa, descontando-a dos pagamentos a serem efetuados.</w:t>
      </w:r>
    </w:p>
    <w:p w14:paraId="2CA13363" w14:textId="77777777" w:rsidR="0009610C" w:rsidRDefault="0009610C" w:rsidP="0009610C">
      <w:pPr>
        <w:pStyle w:val="TR-2"/>
      </w:pPr>
      <w:r>
        <w:t>Também ficam sujeitas às penalidades do art. 87, III e IV da Lei nº 8.666, de 1993, as empresas ou profissionais que:</w:t>
      </w:r>
    </w:p>
    <w:p w14:paraId="2CA13364" w14:textId="77777777" w:rsidR="0009610C" w:rsidRDefault="0009610C" w:rsidP="00A328ED">
      <w:pPr>
        <w:pStyle w:val="TR-3"/>
      </w:pPr>
      <w:proofErr w:type="gramStart"/>
      <w:r>
        <w:t>tenham</w:t>
      </w:r>
      <w:proofErr w:type="gramEnd"/>
      <w:r>
        <w:t xml:space="preserve"> sofrido condenação definitiva por praticar, por meio dolosos, fraude fiscal no recolhimento de quaisquer tributos;</w:t>
      </w:r>
    </w:p>
    <w:p w14:paraId="2CA13365" w14:textId="77777777" w:rsidR="0009610C" w:rsidRDefault="0009610C" w:rsidP="00A328ED">
      <w:pPr>
        <w:pStyle w:val="TR-3"/>
      </w:pPr>
      <w:proofErr w:type="gramStart"/>
      <w:r>
        <w:t>tenham</w:t>
      </w:r>
      <w:proofErr w:type="gramEnd"/>
      <w:r>
        <w:t xml:space="preserve"> praticado atos ilícitos visando a frustrar os objetivos da licitação;</w:t>
      </w:r>
    </w:p>
    <w:p w14:paraId="2CA13366" w14:textId="77777777" w:rsidR="0009610C" w:rsidRDefault="0009610C" w:rsidP="00A328ED">
      <w:pPr>
        <w:pStyle w:val="TR-3"/>
      </w:pPr>
      <w:proofErr w:type="gramStart"/>
      <w:r>
        <w:t>demonstrem</w:t>
      </w:r>
      <w:proofErr w:type="gramEnd"/>
      <w:r>
        <w:t xml:space="preserve"> não possuir idoneidade para contratar com a Administração em virtude de atos ilícitos praticados.</w:t>
      </w:r>
    </w:p>
    <w:p w14:paraId="2CA13367" w14:textId="77777777" w:rsidR="0009610C" w:rsidRDefault="0009610C" w:rsidP="0009610C">
      <w:pPr>
        <w:pStyle w:val="TR-2"/>
      </w:pPr>
      <w: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CA13368" w14:textId="77777777" w:rsidR="0009610C" w:rsidRDefault="0009610C" w:rsidP="0009610C">
      <w:pPr>
        <w:pStyle w:val="TR-2"/>
      </w:pPr>
      <w:r>
        <w:t>As multas devidas e/ou prejuízos causados à Contratante serão deduzidos dos valores a serem pagos,</w:t>
      </w:r>
      <w:r w:rsidR="00A328ED">
        <w:t xml:space="preserve"> ou recolhidos em favor do Município de São Lourenço da Mata</w:t>
      </w:r>
      <w:r>
        <w:t>, ou deduzidos da garantia</w:t>
      </w:r>
      <w:r w:rsidR="00D51A47">
        <w:t xml:space="preserve"> (se houver)</w:t>
      </w:r>
      <w:r>
        <w:t xml:space="preserve">, ou ainda, quando for o caso, serão inscritos na Dívida Ativa </w:t>
      </w:r>
      <w:r w:rsidR="00A328ED">
        <w:t>do Município de São Lourenço da Mata</w:t>
      </w:r>
      <w:r>
        <w:t xml:space="preserve"> e cobrados judicialmente.</w:t>
      </w:r>
    </w:p>
    <w:p w14:paraId="2CA13369" w14:textId="77777777" w:rsidR="0009610C" w:rsidRDefault="0009610C" w:rsidP="00D50BFE">
      <w:pPr>
        <w:pStyle w:val="TR-3"/>
      </w:pPr>
      <w:r>
        <w:t>Caso a Contratante determine, a multa deverá ser recolhida no prazo máximo de 15 (quinze) dias, a contar da data do recebimento da comunicação enviada pela autoridade competente.</w:t>
      </w:r>
    </w:p>
    <w:p w14:paraId="2CA1336A" w14:textId="77777777" w:rsidR="0009610C" w:rsidRDefault="0009610C" w:rsidP="0009610C">
      <w:pPr>
        <w:pStyle w:val="TR-2"/>
      </w:pPr>
      <w:r>
        <w:t>Caso o valor da multa não seja suficiente para cobrir os prejuízos causados pe</w:t>
      </w:r>
      <w:r w:rsidR="00D50BFE">
        <w:t>la conduta do licitante, o Município</w:t>
      </w:r>
      <w:r>
        <w:t xml:space="preserve"> ou Entidade poderá cobrar o valor remanescente judicialmente, conforme artigo 419 do Código Civil.</w:t>
      </w:r>
    </w:p>
    <w:p w14:paraId="2CA1336B" w14:textId="77777777" w:rsidR="0009610C" w:rsidRDefault="0009610C" w:rsidP="0009610C">
      <w:pPr>
        <w:pStyle w:val="TR-2"/>
      </w:pPr>
      <w:r>
        <w:t>A autoridade competente, na aplicação das sanções, levará em consideração a gravidade da conduta do infrator, o caráter educativo da pena, bem como o dano causado à Administração, observado o princípio da proporcionalidade.</w:t>
      </w:r>
    </w:p>
    <w:p w14:paraId="2CA1336C" w14:textId="77777777" w:rsidR="0009610C" w:rsidRDefault="0009610C" w:rsidP="0009610C">
      <w:pPr>
        <w:pStyle w:val="TR-2"/>
      </w:pPr>
      <w: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CA1336D" w14:textId="77777777" w:rsidR="0009610C" w:rsidRDefault="0009610C" w:rsidP="0009610C">
      <w:pPr>
        <w:pStyle w:val="TR-2"/>
      </w:pPr>
      <w: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CA1336E" w14:textId="77777777" w:rsidR="0009610C" w:rsidRDefault="0009610C" w:rsidP="0009610C">
      <w:pPr>
        <w:pStyle w:val="TR-2"/>
      </w:pPr>
      <w: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CA1336F" w14:textId="77777777" w:rsidR="0009610C" w:rsidRDefault="0009610C" w:rsidP="0009610C">
      <w:pPr>
        <w:pStyle w:val="TR-2"/>
      </w:pPr>
      <w:r>
        <w:t>As penalidades serão obrigatoriamente registradas no SICAF.</w:t>
      </w:r>
    </w:p>
    <w:p w14:paraId="2CA13370" w14:textId="77777777" w:rsidR="0009610C" w:rsidRPr="0051511B" w:rsidRDefault="0009610C" w:rsidP="0009610C">
      <w:pPr>
        <w:pStyle w:val="TR-2"/>
      </w:pPr>
      <w:r>
        <w:t>Para fins de aplicação das penalidades, serão observadas as disposições da Instrução Normativa Nº 01/2017, da Secretária-geral da Presidência da República.</w:t>
      </w:r>
    </w:p>
    <w:p w14:paraId="2CA13371" w14:textId="77777777" w:rsidR="0051511B" w:rsidRDefault="0051511B" w:rsidP="00DE2CF5">
      <w:pPr>
        <w:pStyle w:val="TR-1"/>
        <w:shd w:val="clear" w:color="auto" w:fill="8496B0" w:themeFill="text2" w:themeFillTint="99"/>
      </w:pPr>
      <w:r w:rsidRPr="0051511B">
        <w:t>DAS DISPOSIÇÕES FINAIS</w:t>
      </w:r>
    </w:p>
    <w:p w14:paraId="2CA13372" w14:textId="77777777" w:rsidR="00D50BFE" w:rsidRDefault="00D50BFE" w:rsidP="00D50BFE">
      <w:pPr>
        <w:pStyle w:val="TR-2"/>
      </w:pPr>
      <w:r>
        <w:t>O objeto, especificado e quantitativo constante deste Termo de Referência, são referências a serem verificadas de uma forma geral, indispensavelmente deve ser respeitado. Assim, este Termo jamais é exaustivo, havendo sempre a possibilidade de exceções, que justificadas, serão prontamente acatadas.</w:t>
      </w:r>
    </w:p>
    <w:p w14:paraId="2CA13373" w14:textId="77777777" w:rsidR="00D50BFE" w:rsidRDefault="00D50BFE" w:rsidP="00D50BFE">
      <w:pPr>
        <w:pStyle w:val="TR-2"/>
      </w:pPr>
      <w:r>
        <w:t>Possíveis indefinições, omissões, falhas ou incorreções das especificações ora fornecidas não poderão jamais constituir pretexto para a Contratada pretender cobrar “serviços extras” e/ou alterar a composição de preços unitários. Considerar-se-á, a Contratada como especializada em questão e que, por conseguinte, deverá ter computado no valor global da sua proposta também as complementações por acaso omitidas nas especificações, mais implícitas e necessárias ao adimplemento do objeto.</w:t>
      </w:r>
    </w:p>
    <w:p w14:paraId="7D8EAFD4" w14:textId="445E12FC" w:rsidR="00557DC3" w:rsidRDefault="001B223E" w:rsidP="00C707E9">
      <w:pPr>
        <w:pStyle w:val="TR-1"/>
        <w:shd w:val="clear" w:color="auto" w:fill="8496B0" w:themeFill="text2" w:themeFillTint="99"/>
      </w:pPr>
      <w:r>
        <w:t>ANEXO I A- MODELO EM IMAGEM DA CAIXA PLÁSTICA</w:t>
      </w:r>
    </w:p>
    <w:p w14:paraId="11541553" w14:textId="63AD2F86" w:rsidR="00C707E9" w:rsidRPr="00C75825" w:rsidRDefault="001263B4" w:rsidP="00C707E9">
      <w:pPr>
        <w:pStyle w:val="TR-2"/>
      </w:pPr>
      <w:r>
        <w:t xml:space="preserve">Anexo </w:t>
      </w:r>
      <w:r w:rsidRPr="00C75825">
        <w:t xml:space="preserve">I A – Modelo </w:t>
      </w:r>
      <w:r w:rsidR="003F7D0C" w:rsidRPr="00C75825">
        <w:t xml:space="preserve">em imagem da </w:t>
      </w:r>
      <w:r w:rsidR="00C75825" w:rsidRPr="00C75825">
        <w:t xml:space="preserve">caixa </w:t>
      </w:r>
      <w:r w:rsidR="00C75825" w:rsidRPr="00C75825">
        <w:rPr>
          <w:rFonts w:eastAsia="Times New Roman" w:cs="Calibri"/>
          <w:color w:val="000000"/>
          <w:lang w:eastAsia="pt-BR"/>
        </w:rPr>
        <w:t>plástica</w:t>
      </w:r>
      <w:r w:rsidR="00C75825" w:rsidRPr="00C75825">
        <w:t>.</w:t>
      </w:r>
    </w:p>
    <w:p w14:paraId="5084670B" w14:textId="77777777" w:rsidR="00557DC3" w:rsidRDefault="00557DC3" w:rsidP="00557DC3">
      <w:pPr>
        <w:pStyle w:val="TR-1"/>
        <w:numPr>
          <w:ilvl w:val="0"/>
          <w:numId w:val="0"/>
        </w:numPr>
      </w:pPr>
    </w:p>
    <w:p w14:paraId="0271E0E0" w14:textId="77777777" w:rsidR="00557DC3" w:rsidRDefault="00557DC3" w:rsidP="00557DC3">
      <w:pPr>
        <w:pStyle w:val="TR-1"/>
        <w:numPr>
          <w:ilvl w:val="0"/>
          <w:numId w:val="0"/>
        </w:numPr>
      </w:pPr>
    </w:p>
    <w:p w14:paraId="3DA6ADE4" w14:textId="1087E786" w:rsidR="00557DC3" w:rsidRDefault="00557DC3" w:rsidP="00557DC3">
      <w:pPr>
        <w:pStyle w:val="TR-1"/>
        <w:numPr>
          <w:ilvl w:val="0"/>
          <w:numId w:val="0"/>
        </w:numPr>
        <w:ind w:left="360"/>
        <w:jc w:val="center"/>
      </w:pPr>
      <w:r w:rsidRPr="00557DC3">
        <w:rPr>
          <w:b w:val="0"/>
        </w:rPr>
        <w:t>São Lourenço da Mata, 07 de julho de 2023</w:t>
      </w:r>
      <w:r w:rsidRPr="0051511B">
        <w:t>.</w:t>
      </w:r>
    </w:p>
    <w:p w14:paraId="3E69E071" w14:textId="77777777" w:rsidR="00557DC3" w:rsidRDefault="00557DC3" w:rsidP="00557DC3">
      <w:pPr>
        <w:pStyle w:val="TR-1"/>
        <w:numPr>
          <w:ilvl w:val="0"/>
          <w:numId w:val="0"/>
        </w:numPr>
        <w:ind w:left="360"/>
        <w:jc w:val="center"/>
      </w:pPr>
    </w:p>
    <w:p w14:paraId="65CC969D" w14:textId="77777777" w:rsidR="00557DC3" w:rsidRDefault="00557DC3" w:rsidP="00557DC3">
      <w:pPr>
        <w:pStyle w:val="TR-1"/>
        <w:numPr>
          <w:ilvl w:val="0"/>
          <w:numId w:val="0"/>
        </w:numPr>
        <w:ind w:left="360"/>
      </w:pPr>
    </w:p>
    <w:p w14:paraId="66B3887C" w14:textId="77777777" w:rsidR="00557DC3" w:rsidRDefault="00557DC3" w:rsidP="00557DC3">
      <w:pPr>
        <w:pStyle w:val="TR-1"/>
        <w:numPr>
          <w:ilvl w:val="0"/>
          <w:numId w:val="0"/>
        </w:numPr>
        <w:ind w:left="360"/>
      </w:pPr>
    </w:p>
    <w:p w14:paraId="1DEBB519" w14:textId="77777777" w:rsidR="00FD046C" w:rsidRDefault="00FD046C" w:rsidP="00557DC3">
      <w:pPr>
        <w:pStyle w:val="TR-1"/>
        <w:numPr>
          <w:ilvl w:val="0"/>
          <w:numId w:val="0"/>
        </w:numPr>
        <w:ind w:left="360"/>
      </w:pPr>
    </w:p>
    <w:p w14:paraId="768F3EA5" w14:textId="77777777" w:rsidR="00FD046C" w:rsidRDefault="00FD046C" w:rsidP="00557DC3">
      <w:pPr>
        <w:pStyle w:val="TR-1"/>
        <w:numPr>
          <w:ilvl w:val="0"/>
          <w:numId w:val="0"/>
        </w:numPr>
        <w:ind w:left="360"/>
      </w:pPr>
    </w:p>
    <w:p w14:paraId="74BAE970" w14:textId="77777777" w:rsidR="00557DC3" w:rsidRPr="00D50BFE" w:rsidRDefault="00557DC3" w:rsidP="00557DC3">
      <w:pPr>
        <w:pStyle w:val="TR-1"/>
        <w:numPr>
          <w:ilvl w:val="0"/>
          <w:numId w:val="0"/>
        </w:numPr>
        <w:ind w:left="360"/>
      </w:pPr>
    </w:p>
    <w:p w14:paraId="295D2518" w14:textId="77777777" w:rsidR="00557DC3" w:rsidRDefault="00557DC3" w:rsidP="00557DC3">
      <w:pPr>
        <w:pStyle w:val="TR-1"/>
        <w:numPr>
          <w:ilvl w:val="0"/>
          <w:numId w:val="0"/>
        </w:numPr>
        <w:jc w:val="center"/>
      </w:pPr>
      <w:r w:rsidRPr="00843C70">
        <w:t>AMANDA GABRIELLY DE OLIVEIRA NASCIMENTO</w:t>
      </w:r>
    </w:p>
    <w:p w14:paraId="7564BF97" w14:textId="77777777" w:rsidR="00557DC3" w:rsidRPr="00557DC3" w:rsidRDefault="00557DC3" w:rsidP="00557DC3">
      <w:pPr>
        <w:pStyle w:val="TR-1"/>
        <w:numPr>
          <w:ilvl w:val="0"/>
          <w:numId w:val="0"/>
        </w:numPr>
        <w:jc w:val="center"/>
        <w:rPr>
          <w:b w:val="0"/>
        </w:rPr>
      </w:pPr>
      <w:r w:rsidRPr="00557DC3">
        <w:rPr>
          <w:b w:val="0"/>
        </w:rPr>
        <w:t>Servidora da Secretaria de Finanças, Planejamento, Gestão e Tecnologia.</w:t>
      </w:r>
    </w:p>
    <w:p w14:paraId="1A04060B" w14:textId="4A1ACC6C" w:rsidR="00557DC3" w:rsidRPr="007F10D7" w:rsidRDefault="00557DC3" w:rsidP="007F10D7">
      <w:pPr>
        <w:pStyle w:val="TR-1"/>
        <w:numPr>
          <w:ilvl w:val="0"/>
          <w:numId w:val="0"/>
        </w:numPr>
        <w:jc w:val="center"/>
        <w:rPr>
          <w:b w:val="0"/>
        </w:rPr>
      </w:pPr>
      <w:r w:rsidRPr="00557DC3">
        <w:rPr>
          <w:b w:val="0"/>
        </w:rPr>
        <w:t>Matrícula 978525</w:t>
      </w:r>
    </w:p>
    <w:p w14:paraId="0A37CF7F" w14:textId="77777777" w:rsidR="00557DC3" w:rsidRDefault="00557DC3" w:rsidP="007F10D7">
      <w:pPr>
        <w:rPr>
          <w:rFonts w:ascii="Cambria" w:hAnsi="Cambria"/>
          <w:sz w:val="24"/>
          <w:szCs w:val="24"/>
        </w:rPr>
      </w:pPr>
    </w:p>
    <w:p w14:paraId="1A1FFF8D" w14:textId="77777777" w:rsidR="00557DC3" w:rsidRDefault="00557DC3" w:rsidP="00235314">
      <w:pPr>
        <w:jc w:val="center"/>
        <w:rPr>
          <w:rFonts w:ascii="Cambria" w:hAnsi="Cambria"/>
          <w:sz w:val="24"/>
          <w:szCs w:val="24"/>
        </w:rPr>
      </w:pPr>
    </w:p>
    <w:p w14:paraId="7076F040" w14:textId="77777777" w:rsidR="00FD046C" w:rsidRDefault="00FD046C" w:rsidP="00235314">
      <w:pPr>
        <w:jc w:val="center"/>
        <w:rPr>
          <w:rFonts w:ascii="Cambria" w:hAnsi="Cambria"/>
          <w:sz w:val="24"/>
          <w:szCs w:val="24"/>
        </w:rPr>
      </w:pPr>
    </w:p>
    <w:p w14:paraId="38753818" w14:textId="77777777" w:rsidR="00F4172C" w:rsidRDefault="00F4172C" w:rsidP="00235314">
      <w:pPr>
        <w:jc w:val="center"/>
        <w:rPr>
          <w:rFonts w:ascii="Cambria" w:hAnsi="Cambria"/>
          <w:sz w:val="24"/>
          <w:szCs w:val="24"/>
        </w:rPr>
      </w:pPr>
    </w:p>
    <w:p w14:paraId="1EEF3F63" w14:textId="77777777" w:rsidR="00F4172C" w:rsidRDefault="00F4172C" w:rsidP="00F4172C">
      <w:pPr>
        <w:spacing w:after="0"/>
        <w:jc w:val="center"/>
        <w:rPr>
          <w:rFonts w:ascii="Cambria" w:hAnsi="Cambria"/>
          <w:b/>
          <w:sz w:val="24"/>
          <w:szCs w:val="24"/>
        </w:rPr>
      </w:pPr>
      <w:r w:rsidRPr="001C1E7F">
        <w:rPr>
          <w:rFonts w:ascii="Cambria" w:hAnsi="Cambria"/>
          <w:b/>
          <w:sz w:val="24"/>
          <w:szCs w:val="24"/>
        </w:rPr>
        <w:t xml:space="preserve">EDGLEISSON KENNEDY DO NASCIMENTO BARBOSA </w:t>
      </w:r>
    </w:p>
    <w:p w14:paraId="5B5F7F9F" w14:textId="77777777" w:rsidR="00F4172C" w:rsidRDefault="00F4172C" w:rsidP="00F4172C">
      <w:pPr>
        <w:spacing w:after="0"/>
        <w:jc w:val="center"/>
        <w:rPr>
          <w:rFonts w:ascii="Cambria" w:hAnsi="Cambria"/>
          <w:sz w:val="24"/>
          <w:szCs w:val="24"/>
        </w:rPr>
      </w:pPr>
      <w:r>
        <w:rPr>
          <w:rFonts w:ascii="Cambria" w:hAnsi="Cambria"/>
          <w:sz w:val="24"/>
          <w:szCs w:val="24"/>
        </w:rPr>
        <w:lastRenderedPageBreak/>
        <w:t>Farmacêutico, Sec. Saúde Rec.</w:t>
      </w:r>
    </w:p>
    <w:p w14:paraId="79AFDB9D" w14:textId="77777777" w:rsidR="00F4172C" w:rsidRPr="001C1E7F" w:rsidRDefault="00F4172C" w:rsidP="00F4172C">
      <w:pPr>
        <w:spacing w:after="0"/>
        <w:jc w:val="center"/>
        <w:rPr>
          <w:rFonts w:ascii="Cambria" w:hAnsi="Cambria"/>
          <w:sz w:val="24"/>
          <w:szCs w:val="24"/>
        </w:rPr>
      </w:pPr>
      <w:r>
        <w:rPr>
          <w:rFonts w:ascii="Cambria" w:hAnsi="Cambria"/>
          <w:sz w:val="24"/>
          <w:szCs w:val="24"/>
        </w:rPr>
        <w:t>Matrícula 875073</w:t>
      </w:r>
    </w:p>
    <w:p w14:paraId="03F5B25C" w14:textId="77777777" w:rsidR="00F4172C" w:rsidRDefault="00F4172C" w:rsidP="00235314">
      <w:pPr>
        <w:jc w:val="center"/>
        <w:rPr>
          <w:rFonts w:ascii="Cambria" w:hAnsi="Cambria"/>
          <w:sz w:val="24"/>
          <w:szCs w:val="24"/>
        </w:rPr>
      </w:pPr>
    </w:p>
    <w:p w14:paraId="09827835" w14:textId="77777777" w:rsidR="00C75825" w:rsidRDefault="00C75825" w:rsidP="00235314">
      <w:pPr>
        <w:jc w:val="center"/>
        <w:rPr>
          <w:rFonts w:ascii="Cambria" w:hAnsi="Cambria"/>
          <w:sz w:val="24"/>
          <w:szCs w:val="24"/>
        </w:rPr>
        <w:sectPr w:rsidR="00C75825" w:rsidSect="002D3F13">
          <w:headerReference w:type="default" r:id="rId9"/>
          <w:footerReference w:type="default" r:id="rId10"/>
          <w:pgSz w:w="11906" w:h="16838"/>
          <w:pgMar w:top="1134" w:right="1134" w:bottom="1134" w:left="1418" w:header="510" w:footer="340" w:gutter="0"/>
          <w:cols w:space="708"/>
          <w:docGrid w:linePitch="360"/>
        </w:sectPr>
      </w:pPr>
    </w:p>
    <w:p w14:paraId="589B717A" w14:textId="33023140" w:rsidR="00557DC3" w:rsidRPr="00830E72" w:rsidRDefault="001B223E" w:rsidP="00830E72">
      <w:pPr>
        <w:shd w:val="clear" w:color="auto" w:fill="8496B0" w:themeFill="text2" w:themeFillTint="99"/>
        <w:jc w:val="center"/>
        <w:rPr>
          <w:rFonts w:ascii="Cambria" w:hAnsi="Cambria"/>
          <w:b/>
          <w:bCs/>
          <w:sz w:val="24"/>
          <w:szCs w:val="24"/>
        </w:rPr>
      </w:pPr>
      <w:r>
        <w:rPr>
          <w:rFonts w:ascii="Cambria" w:hAnsi="Cambria"/>
          <w:b/>
          <w:bCs/>
          <w:sz w:val="24"/>
          <w:szCs w:val="24"/>
        </w:rPr>
        <w:lastRenderedPageBreak/>
        <w:t xml:space="preserve">MODELO EM IMAGEM DA CAIXA PLÁSTICA, OBJETO DO TERMO DE </w:t>
      </w:r>
      <w:proofErr w:type="gramStart"/>
      <w:r>
        <w:rPr>
          <w:rFonts w:ascii="Cambria" w:hAnsi="Cambria"/>
          <w:b/>
          <w:bCs/>
          <w:sz w:val="24"/>
          <w:szCs w:val="24"/>
        </w:rPr>
        <w:t>REFERÊNCIA</w:t>
      </w:r>
      <w:proofErr w:type="gramEnd"/>
    </w:p>
    <w:p w14:paraId="2623B7E1" w14:textId="77777777" w:rsidR="00F4172C" w:rsidRDefault="00F4172C" w:rsidP="00235314">
      <w:pPr>
        <w:jc w:val="center"/>
        <w:rPr>
          <w:rFonts w:ascii="Cambria" w:hAnsi="Cambria"/>
          <w:sz w:val="24"/>
          <w:szCs w:val="24"/>
        </w:rPr>
      </w:pPr>
    </w:p>
    <w:p w14:paraId="4351E970" w14:textId="1565947D" w:rsidR="00F4172C" w:rsidRPr="008E7024" w:rsidRDefault="008E7024" w:rsidP="00235314">
      <w:pPr>
        <w:jc w:val="center"/>
        <w:rPr>
          <w:rFonts w:ascii="Cambria" w:hAnsi="Cambria"/>
          <w:b/>
          <w:bCs/>
          <w:sz w:val="24"/>
          <w:szCs w:val="24"/>
        </w:rPr>
      </w:pPr>
      <w:r w:rsidRPr="008E7024">
        <w:rPr>
          <w:rFonts w:ascii="Cambria" w:hAnsi="Cambria"/>
          <w:b/>
          <w:bCs/>
          <w:sz w:val="24"/>
          <w:szCs w:val="24"/>
        </w:rPr>
        <w:t xml:space="preserve">Modelo em imagem da caixa plástica, objeto do Termo de </w:t>
      </w:r>
      <w:proofErr w:type="gramStart"/>
      <w:r w:rsidRPr="008E7024">
        <w:rPr>
          <w:rFonts w:ascii="Cambria" w:hAnsi="Cambria"/>
          <w:b/>
          <w:bCs/>
          <w:sz w:val="24"/>
          <w:szCs w:val="24"/>
        </w:rPr>
        <w:t>Referência</w:t>
      </w:r>
      <w:proofErr w:type="gramEnd"/>
    </w:p>
    <w:p w14:paraId="504A76AA" w14:textId="77777777" w:rsidR="00FD046C" w:rsidRDefault="00FD046C" w:rsidP="00235314">
      <w:pPr>
        <w:jc w:val="center"/>
        <w:rPr>
          <w:rFonts w:ascii="Cambria" w:hAnsi="Cambria"/>
          <w:sz w:val="24"/>
          <w:szCs w:val="24"/>
        </w:rPr>
      </w:pPr>
    </w:p>
    <w:p w14:paraId="53B73352" w14:textId="77777777" w:rsidR="00FD046C" w:rsidRDefault="00FD046C" w:rsidP="00235314">
      <w:pPr>
        <w:jc w:val="center"/>
        <w:rPr>
          <w:rFonts w:ascii="Cambria" w:hAnsi="Cambria"/>
          <w:sz w:val="24"/>
          <w:szCs w:val="24"/>
        </w:rPr>
      </w:pPr>
    </w:p>
    <w:p w14:paraId="2F0E4A10" w14:textId="77777777" w:rsidR="006221B1" w:rsidRDefault="006221B1" w:rsidP="00557DC3">
      <w:pPr>
        <w:spacing w:after="0" w:line="240" w:lineRule="auto"/>
        <w:rPr>
          <w:rFonts w:ascii="Cambria" w:hAnsi="Cambria"/>
          <w:sz w:val="24"/>
          <w:szCs w:val="24"/>
        </w:rPr>
      </w:pPr>
    </w:p>
    <w:p w14:paraId="523C0D7F" w14:textId="77777777" w:rsidR="006221B1" w:rsidRDefault="006221B1" w:rsidP="00954467">
      <w:pPr>
        <w:spacing w:after="0" w:line="240" w:lineRule="auto"/>
        <w:jc w:val="center"/>
        <w:rPr>
          <w:rFonts w:ascii="Cambria" w:hAnsi="Cambria"/>
          <w:sz w:val="24"/>
          <w:szCs w:val="24"/>
        </w:rPr>
      </w:pPr>
      <w:bookmarkStart w:id="0" w:name="_GoBack"/>
      <w:bookmarkEnd w:id="0"/>
    </w:p>
    <w:p w14:paraId="7E5BBC1D" w14:textId="388C4AA5" w:rsidR="00557DC3" w:rsidRPr="00557DC3" w:rsidRDefault="00557DC3" w:rsidP="00557DC3">
      <w:pPr>
        <w:tabs>
          <w:tab w:val="left" w:pos="1883"/>
        </w:tabs>
        <w:spacing w:after="0" w:line="240" w:lineRule="auto"/>
        <w:rPr>
          <w:rFonts w:ascii="Cambria" w:hAnsi="Cambria"/>
          <w:sz w:val="24"/>
          <w:szCs w:val="24"/>
        </w:rPr>
      </w:pPr>
    </w:p>
    <w:p w14:paraId="650244AD" w14:textId="3FE145A1" w:rsidR="006221B1" w:rsidRDefault="00A52B4D" w:rsidP="00954467">
      <w:pPr>
        <w:spacing w:after="0" w:line="240" w:lineRule="auto"/>
        <w:jc w:val="center"/>
        <w:rPr>
          <w:rFonts w:ascii="Cambria" w:hAnsi="Cambria"/>
          <w:sz w:val="24"/>
          <w:szCs w:val="24"/>
        </w:rPr>
      </w:pPr>
      <w:r>
        <w:rPr>
          <w:rFonts w:ascii="Cambria" w:hAnsi="Cambria"/>
          <w:noProof/>
          <w:sz w:val="24"/>
          <w:szCs w:val="24"/>
          <w:lang w:eastAsia="pt-BR"/>
        </w:rPr>
        <w:drawing>
          <wp:inline distT="0" distB="0" distL="0" distR="0" wp14:anchorId="4038F932" wp14:editId="39175C4A">
            <wp:extent cx="4762500" cy="3438525"/>
            <wp:effectExtent l="0" t="0" r="0"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_NQ_NP_824756-MLB50203015466_062022-O.jpg"/>
                    <pic:cNvPicPr/>
                  </pic:nvPicPr>
                  <pic:blipFill>
                    <a:blip r:embed="rId11">
                      <a:extLst>
                        <a:ext uri="{28A0092B-C50C-407E-A947-70E740481C1C}">
                          <a14:useLocalDpi xmlns:a14="http://schemas.microsoft.com/office/drawing/2010/main" val="0"/>
                        </a:ext>
                      </a:extLst>
                    </a:blip>
                    <a:stretch>
                      <a:fillRect/>
                    </a:stretch>
                  </pic:blipFill>
                  <pic:spPr>
                    <a:xfrm>
                      <a:off x="0" y="0"/>
                      <a:ext cx="4762500" cy="3438525"/>
                    </a:xfrm>
                    <a:prstGeom prst="rect">
                      <a:avLst/>
                    </a:prstGeom>
                  </pic:spPr>
                </pic:pic>
              </a:graphicData>
            </a:graphic>
          </wp:inline>
        </w:drawing>
      </w:r>
    </w:p>
    <w:p w14:paraId="34832F4F" w14:textId="77777777" w:rsidR="00557DC3" w:rsidRDefault="00557DC3" w:rsidP="00954467">
      <w:pPr>
        <w:spacing w:after="0" w:line="240" w:lineRule="auto"/>
        <w:jc w:val="center"/>
        <w:rPr>
          <w:rFonts w:ascii="Cambria" w:hAnsi="Cambria"/>
          <w:sz w:val="24"/>
          <w:szCs w:val="24"/>
        </w:rPr>
      </w:pPr>
    </w:p>
    <w:p w14:paraId="27BAA831" w14:textId="77777777" w:rsidR="00557DC3" w:rsidRDefault="00557DC3" w:rsidP="00954467">
      <w:pPr>
        <w:spacing w:after="0" w:line="240" w:lineRule="auto"/>
        <w:jc w:val="center"/>
        <w:rPr>
          <w:rFonts w:ascii="Cambria" w:hAnsi="Cambria"/>
          <w:sz w:val="24"/>
          <w:szCs w:val="24"/>
        </w:rPr>
      </w:pPr>
    </w:p>
    <w:p w14:paraId="3ED32602" w14:textId="77777777" w:rsidR="00557DC3" w:rsidRDefault="00557DC3" w:rsidP="00954467">
      <w:pPr>
        <w:spacing w:after="0" w:line="240" w:lineRule="auto"/>
        <w:jc w:val="center"/>
        <w:rPr>
          <w:rFonts w:ascii="Cambria" w:hAnsi="Cambria"/>
          <w:sz w:val="24"/>
          <w:szCs w:val="24"/>
        </w:rPr>
      </w:pPr>
    </w:p>
    <w:sectPr w:rsidR="00557DC3" w:rsidSect="002D3F13">
      <w:pgSz w:w="11906" w:h="16838"/>
      <w:pgMar w:top="1134" w:right="1134" w:bottom="1134" w:left="1418" w:header="510" w:footer="34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3ECC9C" w15:done="0"/>
  <w15:commentEx w15:paraId="70F5E247" w15:done="0"/>
  <w15:commentEx w15:paraId="0E0D6C2D" w15:done="0"/>
  <w15:commentEx w15:paraId="38833F4B" w15:done="0"/>
  <w15:commentEx w15:paraId="15DF1FAA" w15:done="0"/>
  <w15:commentEx w15:paraId="4076887C" w15:done="0"/>
  <w15:commentEx w15:paraId="48044584" w15:done="0"/>
  <w15:commentEx w15:paraId="43C228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23CC2" w16cex:dateUtc="2023-07-19T13:43:00Z"/>
  <w16cex:commentExtensible w16cex:durableId="28623B74" w16cex:dateUtc="2023-07-19T13:37:00Z"/>
  <w16cex:commentExtensible w16cex:durableId="28623BCE" w16cex:dateUtc="2023-07-19T13:39:00Z"/>
  <w16cex:commentExtensible w16cex:durableId="2862378F" w16cex:dateUtc="2023-07-19T13:21:00Z"/>
  <w16cex:commentExtensible w16cex:durableId="28623894" w16cex:dateUtc="2023-07-19T13:25:00Z"/>
  <w16cex:commentExtensible w16cex:durableId="286238E8" w16cex:dateUtc="2023-07-19T13:26:00Z"/>
  <w16cex:commentExtensible w16cex:durableId="28623A8C" w16cex:dateUtc="2023-07-19T13:33:00Z"/>
  <w16cex:commentExtensible w16cex:durableId="28623A70" w16cex:dateUtc="2023-07-19T13: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3ECC9C" w16cid:durableId="28623CC2"/>
  <w16cid:commentId w16cid:paraId="70F5E247" w16cid:durableId="28623B74"/>
  <w16cid:commentId w16cid:paraId="0E0D6C2D" w16cid:durableId="28623BCE"/>
  <w16cid:commentId w16cid:paraId="38833F4B" w16cid:durableId="2862378F"/>
  <w16cid:commentId w16cid:paraId="15DF1FAA" w16cid:durableId="28623894"/>
  <w16cid:commentId w16cid:paraId="4076887C" w16cid:durableId="286238E8"/>
  <w16cid:commentId w16cid:paraId="48044584" w16cid:durableId="28623A8C"/>
  <w16cid:commentId w16cid:paraId="43C2289C" w16cid:durableId="28623A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16660" w14:textId="77777777" w:rsidR="00D11E39" w:rsidRDefault="00D11E39" w:rsidP="002D3F13">
      <w:pPr>
        <w:spacing w:after="0" w:line="240" w:lineRule="auto"/>
      </w:pPr>
      <w:r>
        <w:separator/>
      </w:r>
    </w:p>
  </w:endnote>
  <w:endnote w:type="continuationSeparator" w:id="0">
    <w:p w14:paraId="34EDFCDD" w14:textId="77777777" w:rsidR="00D11E39" w:rsidRDefault="00D11E39" w:rsidP="002D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1338D" w14:textId="77777777" w:rsidR="008B5779" w:rsidRDefault="008B5779" w:rsidP="002D3F13">
    <w:pPr>
      <w:pStyle w:val="Rodap"/>
      <w:jc w:val="right"/>
    </w:pPr>
  </w:p>
  <w:p w14:paraId="2CA1338E" w14:textId="77777777" w:rsidR="008B5779" w:rsidRPr="002D3F13" w:rsidRDefault="008B5779" w:rsidP="002D3F13">
    <w:pPr>
      <w:pStyle w:val="Rodap"/>
      <w:jc w:val="right"/>
      <w:rPr>
        <w:rFonts w:ascii="Cambria" w:hAnsi="Cambria"/>
        <w:b/>
        <w:bCs/>
      </w:rPr>
    </w:pPr>
    <w:r w:rsidRPr="002D3F13">
      <w:rPr>
        <w:rFonts w:ascii="Cambria" w:hAnsi="Cambria"/>
      </w:rPr>
      <w:t xml:space="preserve">Página </w:t>
    </w:r>
    <w:r w:rsidRPr="002D3F13">
      <w:rPr>
        <w:rFonts w:ascii="Cambria" w:hAnsi="Cambria"/>
        <w:b/>
        <w:bCs/>
      </w:rPr>
      <w:fldChar w:fldCharType="begin"/>
    </w:r>
    <w:r w:rsidRPr="002D3F13">
      <w:rPr>
        <w:rFonts w:ascii="Cambria" w:hAnsi="Cambria"/>
        <w:b/>
        <w:bCs/>
      </w:rPr>
      <w:instrText xml:space="preserve"> PAGE  \* Arabic </w:instrText>
    </w:r>
    <w:r w:rsidRPr="002D3F13">
      <w:rPr>
        <w:rFonts w:ascii="Cambria" w:hAnsi="Cambria"/>
        <w:b/>
        <w:bCs/>
      </w:rPr>
      <w:fldChar w:fldCharType="separate"/>
    </w:r>
    <w:r w:rsidR="00377C9E">
      <w:rPr>
        <w:rFonts w:ascii="Cambria" w:hAnsi="Cambria"/>
        <w:b/>
        <w:bCs/>
        <w:noProof/>
      </w:rPr>
      <w:t>1</w:t>
    </w:r>
    <w:r w:rsidRPr="002D3F13">
      <w:rPr>
        <w:rFonts w:ascii="Cambria" w:hAnsi="Cambria"/>
        <w:b/>
        <w:bCs/>
      </w:rPr>
      <w:fldChar w:fldCharType="end"/>
    </w:r>
    <w:r w:rsidRPr="002D3F13">
      <w:rPr>
        <w:rFonts w:ascii="Cambria" w:hAnsi="Cambria"/>
      </w:rPr>
      <w:t xml:space="preserve"> de </w:t>
    </w:r>
    <w:r w:rsidRPr="002D3F13">
      <w:rPr>
        <w:rFonts w:ascii="Cambria" w:hAnsi="Cambria"/>
        <w:b/>
        <w:bCs/>
      </w:rPr>
      <w:fldChar w:fldCharType="begin"/>
    </w:r>
    <w:r w:rsidRPr="002D3F13">
      <w:rPr>
        <w:rFonts w:ascii="Cambria" w:hAnsi="Cambria"/>
        <w:b/>
        <w:bCs/>
      </w:rPr>
      <w:instrText>NUMPAGES</w:instrText>
    </w:r>
    <w:r w:rsidRPr="002D3F13">
      <w:rPr>
        <w:rFonts w:ascii="Cambria" w:hAnsi="Cambria"/>
        <w:b/>
        <w:bCs/>
      </w:rPr>
      <w:fldChar w:fldCharType="separate"/>
    </w:r>
    <w:r w:rsidR="00377C9E">
      <w:rPr>
        <w:rFonts w:ascii="Cambria" w:hAnsi="Cambria"/>
        <w:b/>
        <w:bCs/>
        <w:noProof/>
      </w:rPr>
      <w:t>12</w:t>
    </w:r>
    <w:r w:rsidRPr="002D3F13">
      <w:rPr>
        <w:rFonts w:ascii="Cambria" w:hAnsi="Cambria"/>
        <w:b/>
        <w:bCs/>
      </w:rPr>
      <w:fldChar w:fldCharType="end"/>
    </w:r>
  </w:p>
  <w:p w14:paraId="2CA1338F" w14:textId="77777777" w:rsidR="008B5779" w:rsidRPr="002D3F13" w:rsidRDefault="008B5779" w:rsidP="002D3F13">
    <w:pPr>
      <w:pStyle w:val="Rodap"/>
      <w:jc w:val="right"/>
      <w:rPr>
        <w:rFonts w:ascii="Arial" w:hAnsi="Arial" w:cs="Arial"/>
      </w:rPr>
    </w:pPr>
  </w:p>
  <w:p w14:paraId="2CA13390" w14:textId="77777777" w:rsidR="008B5779" w:rsidRPr="002D3F13" w:rsidRDefault="008B5779" w:rsidP="002D3F13">
    <w:pPr>
      <w:tabs>
        <w:tab w:val="center" w:pos="4252"/>
        <w:tab w:val="right" w:pos="8504"/>
      </w:tabs>
      <w:spacing w:after="0" w:line="240" w:lineRule="auto"/>
      <w:jc w:val="center"/>
      <w:rPr>
        <w:rFonts w:ascii="Arial" w:eastAsia="Calibri" w:hAnsi="Arial" w:cs="Arial"/>
        <w:b/>
        <w:sz w:val="16"/>
      </w:rPr>
    </w:pPr>
  </w:p>
  <w:p w14:paraId="2CA13391" w14:textId="77777777" w:rsidR="008B5779" w:rsidRPr="002D3F13" w:rsidRDefault="008B5779" w:rsidP="002D3F13">
    <w:pPr>
      <w:tabs>
        <w:tab w:val="center" w:pos="4252"/>
        <w:tab w:val="right" w:pos="8504"/>
      </w:tabs>
      <w:spacing w:after="0" w:line="240" w:lineRule="auto"/>
      <w:jc w:val="center"/>
      <w:rPr>
        <w:rFonts w:ascii="Arial" w:eastAsia="Calibri" w:hAnsi="Arial" w:cs="Arial"/>
        <w:b/>
        <w:sz w:val="16"/>
      </w:rPr>
    </w:pPr>
    <w:r w:rsidRPr="002D3F13">
      <w:rPr>
        <w:rFonts w:ascii="Arial" w:hAnsi="Arial" w:cs="Arial"/>
        <w:noProof/>
        <w:lang w:eastAsia="pt-BR"/>
      </w:rPr>
      <w:drawing>
        <wp:anchor distT="0" distB="0" distL="114300" distR="114300" simplePos="0" relativeHeight="251658240" behindDoc="0" locked="0" layoutInCell="1" allowOverlap="1" wp14:anchorId="2CA13395" wp14:editId="2CA13396">
          <wp:simplePos x="0" y="0"/>
          <wp:positionH relativeFrom="column">
            <wp:posOffset>-1130300</wp:posOffset>
          </wp:positionH>
          <wp:positionV relativeFrom="paragraph">
            <wp:posOffset>-137795</wp:posOffset>
          </wp:positionV>
          <wp:extent cx="7891145" cy="68580"/>
          <wp:effectExtent l="19050" t="0" r="0" b="0"/>
          <wp:wrapNone/>
          <wp:docPr id="6"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srcRect/>
                  <a:stretch>
                    <a:fillRect/>
                  </a:stretch>
                </pic:blipFill>
                <pic:spPr bwMode="auto">
                  <a:xfrm>
                    <a:off x="0" y="0"/>
                    <a:ext cx="7891145" cy="68580"/>
                  </a:xfrm>
                  <a:prstGeom prst="rect">
                    <a:avLst/>
                  </a:prstGeom>
                  <a:noFill/>
                  <a:ln w="9525">
                    <a:noFill/>
                    <a:miter lim="800000"/>
                    <a:headEnd/>
                    <a:tailEnd/>
                  </a:ln>
                </pic:spPr>
              </pic:pic>
            </a:graphicData>
          </a:graphic>
        </wp:anchor>
      </w:drawing>
    </w:r>
    <w:r w:rsidRPr="002D3F13">
      <w:rPr>
        <w:rFonts w:ascii="Arial" w:eastAsia="Calibri" w:hAnsi="Arial" w:cs="Arial"/>
        <w:b/>
        <w:sz w:val="16"/>
      </w:rPr>
      <w:t xml:space="preserve">PRAÇA DOUTOR ARAÚJO SOBRINHO, S/Nº | CENTRO - SÃO LOURENÇO DA MATA - </w:t>
    </w:r>
    <w:proofErr w:type="gramStart"/>
    <w:r w:rsidRPr="002D3F13">
      <w:rPr>
        <w:rFonts w:ascii="Arial" w:eastAsia="Calibri" w:hAnsi="Arial" w:cs="Arial"/>
        <w:b/>
        <w:sz w:val="16"/>
      </w:rPr>
      <w:t>PE</w:t>
    </w:r>
    <w:proofErr w:type="gramEnd"/>
  </w:p>
  <w:p w14:paraId="2CA13392" w14:textId="77777777" w:rsidR="008B5779" w:rsidRPr="00DE19AE" w:rsidRDefault="008B5779" w:rsidP="002D3F13">
    <w:pPr>
      <w:tabs>
        <w:tab w:val="center" w:pos="4252"/>
        <w:tab w:val="right" w:pos="8504"/>
      </w:tabs>
      <w:spacing w:after="0" w:line="240" w:lineRule="auto"/>
      <w:jc w:val="center"/>
      <w:rPr>
        <w:rFonts w:ascii="Arial" w:eastAsia="Calibri" w:hAnsi="Arial" w:cs="Arial"/>
        <w:b/>
        <w:sz w:val="18"/>
      </w:rPr>
    </w:pPr>
    <w:r w:rsidRPr="00DE19AE">
      <w:rPr>
        <w:rFonts w:ascii="Arial" w:eastAsia="Calibri" w:hAnsi="Arial" w:cs="Arial"/>
        <w:b/>
        <w:sz w:val="16"/>
      </w:rPr>
      <w:t xml:space="preserve">CEP: 54.735-565 | CNPJ: 11.251.832/0001-05 | SITE: </w:t>
    </w:r>
    <w:proofErr w:type="gramStart"/>
    <w:r w:rsidRPr="00DE19AE">
      <w:rPr>
        <w:rFonts w:ascii="Arial" w:eastAsia="Calibri" w:hAnsi="Arial" w:cs="Arial"/>
        <w:b/>
        <w:sz w:val="16"/>
      </w:rPr>
      <w:t>SLM.</w:t>
    </w:r>
    <w:proofErr w:type="gramEnd"/>
    <w:r w:rsidRPr="00DE19AE">
      <w:rPr>
        <w:rFonts w:ascii="Arial" w:eastAsia="Calibri" w:hAnsi="Arial" w:cs="Arial"/>
        <w:b/>
        <w:sz w:val="16"/>
      </w:rPr>
      <w:t>PE.GOV.BR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609FC" w14:textId="77777777" w:rsidR="00D11E39" w:rsidRDefault="00D11E39" w:rsidP="002D3F13">
      <w:pPr>
        <w:spacing w:after="0" w:line="240" w:lineRule="auto"/>
      </w:pPr>
      <w:r>
        <w:separator/>
      </w:r>
    </w:p>
  </w:footnote>
  <w:footnote w:type="continuationSeparator" w:id="0">
    <w:p w14:paraId="01373BE5" w14:textId="77777777" w:rsidR="00D11E39" w:rsidRDefault="00D11E39" w:rsidP="002D3F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13387" w14:textId="77777777" w:rsidR="008B5779" w:rsidRDefault="008B5779" w:rsidP="002D3F13">
    <w:pPr>
      <w:pStyle w:val="Cabealho"/>
    </w:pPr>
    <w:r>
      <w:rPr>
        <w:noProof/>
        <w:lang w:eastAsia="pt-BR"/>
      </w:rPr>
      <w:drawing>
        <wp:anchor distT="0" distB="0" distL="114300" distR="114300" simplePos="0" relativeHeight="251656192" behindDoc="0" locked="0" layoutInCell="1" allowOverlap="1" wp14:anchorId="2CA13393" wp14:editId="2CA13394">
          <wp:simplePos x="0" y="0"/>
          <wp:positionH relativeFrom="margin">
            <wp:posOffset>1724025</wp:posOffset>
          </wp:positionH>
          <wp:positionV relativeFrom="paragraph">
            <wp:posOffset>-123825</wp:posOffset>
          </wp:positionV>
          <wp:extent cx="2733675" cy="1143000"/>
          <wp:effectExtent l="0" t="0" r="0" b="0"/>
          <wp:wrapNone/>
          <wp:docPr id="1" name="Imagem 0" descr="ok-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ok-02.png"/>
                  <pic:cNvPicPr>
                    <a:picLocks noChangeAspect="1" noChangeArrowheads="1"/>
                  </pic:cNvPicPr>
                </pic:nvPicPr>
                <pic:blipFill>
                  <a:blip r:embed="rId1"/>
                  <a:srcRect/>
                  <a:stretch>
                    <a:fillRect/>
                  </a:stretch>
                </pic:blipFill>
                <pic:spPr bwMode="auto">
                  <a:xfrm>
                    <a:off x="0" y="0"/>
                    <a:ext cx="2733675" cy="1143000"/>
                  </a:xfrm>
                  <a:prstGeom prst="rect">
                    <a:avLst/>
                  </a:prstGeom>
                  <a:noFill/>
                  <a:ln w="9525">
                    <a:noFill/>
                    <a:miter lim="800000"/>
                    <a:headEnd/>
                    <a:tailEnd/>
                  </a:ln>
                </pic:spPr>
              </pic:pic>
            </a:graphicData>
          </a:graphic>
        </wp:anchor>
      </w:drawing>
    </w:r>
  </w:p>
  <w:p w14:paraId="2CA13388" w14:textId="77777777" w:rsidR="008B5779" w:rsidRDefault="008B5779" w:rsidP="002D3F13">
    <w:pPr>
      <w:pStyle w:val="Cabealho"/>
    </w:pPr>
  </w:p>
  <w:p w14:paraId="2CA13389" w14:textId="77777777" w:rsidR="008B5779" w:rsidRDefault="008B5779" w:rsidP="002D3F13">
    <w:pPr>
      <w:pStyle w:val="Cabealho"/>
    </w:pPr>
  </w:p>
  <w:p w14:paraId="2CA1338A" w14:textId="77777777" w:rsidR="008B5779" w:rsidRDefault="008B5779" w:rsidP="002D3F13">
    <w:pPr>
      <w:pStyle w:val="Cabealho"/>
    </w:pPr>
  </w:p>
  <w:p w14:paraId="2CA1338B" w14:textId="77777777" w:rsidR="008B5779" w:rsidRDefault="008B5779" w:rsidP="002D3F13">
    <w:pPr>
      <w:pStyle w:val="Cabealho"/>
    </w:pPr>
  </w:p>
  <w:p w14:paraId="2CA1338C" w14:textId="77777777" w:rsidR="008B5779" w:rsidRDefault="008B5779" w:rsidP="002D3F1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B4AF4"/>
    <w:multiLevelType w:val="multilevel"/>
    <w:tmpl w:val="D6505D5E"/>
    <w:lvl w:ilvl="0">
      <w:start w:val="1"/>
      <w:numFmt w:val="decimal"/>
      <w:pStyle w:val="TR-1"/>
      <w:lvlText w:val="%1."/>
      <w:lvlJc w:val="left"/>
      <w:pPr>
        <w:ind w:left="360" w:hanging="360"/>
      </w:pPr>
      <w:rPr>
        <w:b/>
      </w:rPr>
    </w:lvl>
    <w:lvl w:ilvl="1">
      <w:start w:val="1"/>
      <w:numFmt w:val="decimal"/>
      <w:pStyle w:val="TR-2"/>
      <w:lvlText w:val="%1.%2."/>
      <w:lvlJc w:val="left"/>
      <w:pPr>
        <w:ind w:left="646" w:hanging="432"/>
      </w:pPr>
      <w:rPr>
        <w:b/>
      </w:rPr>
    </w:lvl>
    <w:lvl w:ilvl="2">
      <w:start w:val="1"/>
      <w:numFmt w:val="decimal"/>
      <w:pStyle w:val="TR-3"/>
      <w:lvlText w:val="%1.%2.%3."/>
      <w:lvlJc w:val="left"/>
      <w:pPr>
        <w:ind w:left="1224" w:hanging="504"/>
      </w:pPr>
      <w:rPr>
        <w:b/>
      </w:rPr>
    </w:lvl>
    <w:lvl w:ilvl="3">
      <w:start w:val="1"/>
      <w:numFmt w:val="decimal"/>
      <w:pStyle w:val="TR-4"/>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NTPAGE">
    <w15:presenceInfo w15:providerId="None" w15:userId="PRINTPA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2E2"/>
    <w:rsid w:val="00002B9B"/>
    <w:rsid w:val="0000706B"/>
    <w:rsid w:val="000072B1"/>
    <w:rsid w:val="00027B00"/>
    <w:rsid w:val="00034707"/>
    <w:rsid w:val="00064AEE"/>
    <w:rsid w:val="0009610C"/>
    <w:rsid w:val="000A1F29"/>
    <w:rsid w:val="000A6F2F"/>
    <w:rsid w:val="000D7D84"/>
    <w:rsid w:val="000E106B"/>
    <w:rsid w:val="000E3233"/>
    <w:rsid w:val="000E738D"/>
    <w:rsid w:val="001154FC"/>
    <w:rsid w:val="00122D1A"/>
    <w:rsid w:val="001263B4"/>
    <w:rsid w:val="00134968"/>
    <w:rsid w:val="00152C6D"/>
    <w:rsid w:val="00157DA2"/>
    <w:rsid w:val="00164A65"/>
    <w:rsid w:val="00166B18"/>
    <w:rsid w:val="001734E5"/>
    <w:rsid w:val="00191E98"/>
    <w:rsid w:val="001A056E"/>
    <w:rsid w:val="001B223E"/>
    <w:rsid w:val="001B59AF"/>
    <w:rsid w:val="001C4575"/>
    <w:rsid w:val="001D60A2"/>
    <w:rsid w:val="001E23A4"/>
    <w:rsid w:val="001E4DE9"/>
    <w:rsid w:val="001F01D0"/>
    <w:rsid w:val="001F34B6"/>
    <w:rsid w:val="002039D8"/>
    <w:rsid w:val="002075A6"/>
    <w:rsid w:val="0021057E"/>
    <w:rsid w:val="00235314"/>
    <w:rsid w:val="00242ECB"/>
    <w:rsid w:val="00256C7B"/>
    <w:rsid w:val="00270725"/>
    <w:rsid w:val="00295484"/>
    <w:rsid w:val="002B58BF"/>
    <w:rsid w:val="002B61C1"/>
    <w:rsid w:val="002C7C85"/>
    <w:rsid w:val="002D2DFD"/>
    <w:rsid w:val="002D3F13"/>
    <w:rsid w:val="002E3B04"/>
    <w:rsid w:val="00304251"/>
    <w:rsid w:val="00376676"/>
    <w:rsid w:val="00377C9E"/>
    <w:rsid w:val="00382A95"/>
    <w:rsid w:val="00382D4B"/>
    <w:rsid w:val="003861DD"/>
    <w:rsid w:val="00387AEF"/>
    <w:rsid w:val="00393A3D"/>
    <w:rsid w:val="003C59E2"/>
    <w:rsid w:val="003D022B"/>
    <w:rsid w:val="003F7D0C"/>
    <w:rsid w:val="00402CA2"/>
    <w:rsid w:val="00407340"/>
    <w:rsid w:val="00420B1D"/>
    <w:rsid w:val="0042109A"/>
    <w:rsid w:val="00430EDD"/>
    <w:rsid w:val="00446147"/>
    <w:rsid w:val="0044743F"/>
    <w:rsid w:val="00480A15"/>
    <w:rsid w:val="00480E76"/>
    <w:rsid w:val="004A6CDB"/>
    <w:rsid w:val="004B2595"/>
    <w:rsid w:val="004C2257"/>
    <w:rsid w:val="004C27E3"/>
    <w:rsid w:val="004D1649"/>
    <w:rsid w:val="004D42EE"/>
    <w:rsid w:val="004E0C99"/>
    <w:rsid w:val="004E3A06"/>
    <w:rsid w:val="004E3D4C"/>
    <w:rsid w:val="00507BD4"/>
    <w:rsid w:val="0051511B"/>
    <w:rsid w:val="00515AE7"/>
    <w:rsid w:val="00530D72"/>
    <w:rsid w:val="00557DC3"/>
    <w:rsid w:val="00573C88"/>
    <w:rsid w:val="00587644"/>
    <w:rsid w:val="005B167F"/>
    <w:rsid w:val="005E78E2"/>
    <w:rsid w:val="006221B1"/>
    <w:rsid w:val="006226C6"/>
    <w:rsid w:val="00656544"/>
    <w:rsid w:val="00660D7C"/>
    <w:rsid w:val="00663CAA"/>
    <w:rsid w:val="00672DA5"/>
    <w:rsid w:val="00680729"/>
    <w:rsid w:val="00681A71"/>
    <w:rsid w:val="00686E6A"/>
    <w:rsid w:val="006A4FCD"/>
    <w:rsid w:val="006A73B8"/>
    <w:rsid w:val="006C1E6C"/>
    <w:rsid w:val="006C1FCC"/>
    <w:rsid w:val="006C4CDE"/>
    <w:rsid w:val="00700B51"/>
    <w:rsid w:val="0074595B"/>
    <w:rsid w:val="007607C7"/>
    <w:rsid w:val="00781FA0"/>
    <w:rsid w:val="007A03DD"/>
    <w:rsid w:val="007A095E"/>
    <w:rsid w:val="007A6AFC"/>
    <w:rsid w:val="007A75E7"/>
    <w:rsid w:val="007F10D7"/>
    <w:rsid w:val="007F280A"/>
    <w:rsid w:val="008029FE"/>
    <w:rsid w:val="00830E72"/>
    <w:rsid w:val="008312D6"/>
    <w:rsid w:val="00843C70"/>
    <w:rsid w:val="00853771"/>
    <w:rsid w:val="008567AF"/>
    <w:rsid w:val="0086287B"/>
    <w:rsid w:val="00890D30"/>
    <w:rsid w:val="008A4949"/>
    <w:rsid w:val="008A4C79"/>
    <w:rsid w:val="008B5779"/>
    <w:rsid w:val="008E7024"/>
    <w:rsid w:val="009164F7"/>
    <w:rsid w:val="00930C98"/>
    <w:rsid w:val="00931676"/>
    <w:rsid w:val="00932417"/>
    <w:rsid w:val="00941627"/>
    <w:rsid w:val="00946122"/>
    <w:rsid w:val="00954467"/>
    <w:rsid w:val="00957102"/>
    <w:rsid w:val="00962E11"/>
    <w:rsid w:val="0097718C"/>
    <w:rsid w:val="009916BD"/>
    <w:rsid w:val="009A7A34"/>
    <w:rsid w:val="009C0ACD"/>
    <w:rsid w:val="009C7E04"/>
    <w:rsid w:val="009D2E8D"/>
    <w:rsid w:val="009D4B3F"/>
    <w:rsid w:val="009D5AB3"/>
    <w:rsid w:val="00A1009F"/>
    <w:rsid w:val="00A25A46"/>
    <w:rsid w:val="00A25D56"/>
    <w:rsid w:val="00A328ED"/>
    <w:rsid w:val="00A341A9"/>
    <w:rsid w:val="00A447EA"/>
    <w:rsid w:val="00A470E5"/>
    <w:rsid w:val="00A51881"/>
    <w:rsid w:val="00A52B4D"/>
    <w:rsid w:val="00A609BD"/>
    <w:rsid w:val="00A633EC"/>
    <w:rsid w:val="00A70BDA"/>
    <w:rsid w:val="00A725C3"/>
    <w:rsid w:val="00A7563A"/>
    <w:rsid w:val="00AA26E7"/>
    <w:rsid w:val="00AA48CE"/>
    <w:rsid w:val="00AB193F"/>
    <w:rsid w:val="00AB1CDA"/>
    <w:rsid w:val="00AC2233"/>
    <w:rsid w:val="00AC345C"/>
    <w:rsid w:val="00AE219F"/>
    <w:rsid w:val="00AF5281"/>
    <w:rsid w:val="00B30F75"/>
    <w:rsid w:val="00B36FD8"/>
    <w:rsid w:val="00B3788B"/>
    <w:rsid w:val="00B46149"/>
    <w:rsid w:val="00B617A9"/>
    <w:rsid w:val="00B77E1E"/>
    <w:rsid w:val="00B86F5C"/>
    <w:rsid w:val="00B93DBD"/>
    <w:rsid w:val="00B96A03"/>
    <w:rsid w:val="00B97DDB"/>
    <w:rsid w:val="00BA6EA9"/>
    <w:rsid w:val="00BE3E49"/>
    <w:rsid w:val="00BE62E5"/>
    <w:rsid w:val="00BF3B18"/>
    <w:rsid w:val="00C02470"/>
    <w:rsid w:val="00C23831"/>
    <w:rsid w:val="00C3000F"/>
    <w:rsid w:val="00C40284"/>
    <w:rsid w:val="00C41C94"/>
    <w:rsid w:val="00C449EC"/>
    <w:rsid w:val="00C707E9"/>
    <w:rsid w:val="00C718F5"/>
    <w:rsid w:val="00C75825"/>
    <w:rsid w:val="00C922E2"/>
    <w:rsid w:val="00C94325"/>
    <w:rsid w:val="00C94729"/>
    <w:rsid w:val="00CD0612"/>
    <w:rsid w:val="00CF210E"/>
    <w:rsid w:val="00D11E39"/>
    <w:rsid w:val="00D3546B"/>
    <w:rsid w:val="00D50BFE"/>
    <w:rsid w:val="00D519C1"/>
    <w:rsid w:val="00D51A47"/>
    <w:rsid w:val="00D70D00"/>
    <w:rsid w:val="00D753BF"/>
    <w:rsid w:val="00D95E80"/>
    <w:rsid w:val="00DB05BA"/>
    <w:rsid w:val="00DB4487"/>
    <w:rsid w:val="00DD5E82"/>
    <w:rsid w:val="00DE19AE"/>
    <w:rsid w:val="00DE2CF5"/>
    <w:rsid w:val="00DF5260"/>
    <w:rsid w:val="00DF713D"/>
    <w:rsid w:val="00E11F8E"/>
    <w:rsid w:val="00E31BE6"/>
    <w:rsid w:val="00E41DA9"/>
    <w:rsid w:val="00E55291"/>
    <w:rsid w:val="00E61AC6"/>
    <w:rsid w:val="00E75E88"/>
    <w:rsid w:val="00E7687F"/>
    <w:rsid w:val="00E80277"/>
    <w:rsid w:val="00E80B9D"/>
    <w:rsid w:val="00EA1C50"/>
    <w:rsid w:val="00EB2F4F"/>
    <w:rsid w:val="00EB6965"/>
    <w:rsid w:val="00F05CFB"/>
    <w:rsid w:val="00F16E3E"/>
    <w:rsid w:val="00F34A6E"/>
    <w:rsid w:val="00F36188"/>
    <w:rsid w:val="00F4172C"/>
    <w:rsid w:val="00F52F70"/>
    <w:rsid w:val="00F54C3D"/>
    <w:rsid w:val="00FA0F8B"/>
    <w:rsid w:val="00FD046C"/>
    <w:rsid w:val="00FD38CD"/>
    <w:rsid w:val="00FD3EE1"/>
    <w:rsid w:val="00FD4B62"/>
    <w:rsid w:val="00FE3BC0"/>
    <w:rsid w:val="00FF33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1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C922E2"/>
    <w:pPr>
      <w:ind w:left="720"/>
      <w:contextualSpacing/>
    </w:pPr>
  </w:style>
  <w:style w:type="paragraph" w:customStyle="1" w:styleId="TR-1">
    <w:name w:val="TR-1"/>
    <w:basedOn w:val="PargrafodaLista"/>
    <w:link w:val="TR-1Char"/>
    <w:qFormat/>
    <w:rsid w:val="00E75E88"/>
    <w:pPr>
      <w:numPr>
        <w:numId w:val="1"/>
      </w:numPr>
    </w:pPr>
    <w:rPr>
      <w:rFonts w:ascii="Cambria" w:hAnsi="Cambria"/>
      <w:b/>
      <w:sz w:val="24"/>
      <w:szCs w:val="24"/>
    </w:rPr>
  </w:style>
  <w:style w:type="paragraph" w:customStyle="1" w:styleId="TR-2">
    <w:name w:val="TR-2"/>
    <w:basedOn w:val="TR-1"/>
    <w:link w:val="TR-2Char"/>
    <w:qFormat/>
    <w:rsid w:val="005B167F"/>
    <w:pPr>
      <w:numPr>
        <w:ilvl w:val="1"/>
      </w:numPr>
      <w:ind w:left="357" w:firstLine="0"/>
      <w:jc w:val="both"/>
    </w:pPr>
    <w:rPr>
      <w:b w:val="0"/>
    </w:rPr>
  </w:style>
  <w:style w:type="character" w:customStyle="1" w:styleId="PargrafodaListaChar">
    <w:name w:val="Parágrafo da Lista Char"/>
    <w:basedOn w:val="Fontepargpadro"/>
    <w:link w:val="PargrafodaLista"/>
    <w:uiPriority w:val="34"/>
    <w:rsid w:val="00E75E88"/>
  </w:style>
  <w:style w:type="character" w:customStyle="1" w:styleId="TR-1Char">
    <w:name w:val="TR-1 Char"/>
    <w:basedOn w:val="PargrafodaListaChar"/>
    <w:link w:val="TR-1"/>
    <w:rsid w:val="00E75E88"/>
    <w:rPr>
      <w:rFonts w:ascii="Cambria" w:hAnsi="Cambria"/>
      <w:b/>
      <w:sz w:val="24"/>
      <w:szCs w:val="24"/>
    </w:rPr>
  </w:style>
  <w:style w:type="paragraph" w:customStyle="1" w:styleId="TR-3">
    <w:name w:val="TR-3"/>
    <w:basedOn w:val="TR-2"/>
    <w:link w:val="TR-3Char"/>
    <w:qFormat/>
    <w:rsid w:val="00191E98"/>
    <w:pPr>
      <w:numPr>
        <w:ilvl w:val="2"/>
      </w:numPr>
      <w:ind w:left="720" w:firstLine="0"/>
    </w:pPr>
  </w:style>
  <w:style w:type="character" w:customStyle="1" w:styleId="TR-2Char">
    <w:name w:val="TR-2 Char"/>
    <w:basedOn w:val="TR-1Char"/>
    <w:link w:val="TR-2"/>
    <w:rsid w:val="005B167F"/>
    <w:rPr>
      <w:rFonts w:ascii="Cambria" w:hAnsi="Cambria"/>
      <w:b w:val="0"/>
      <w:sz w:val="24"/>
      <w:szCs w:val="24"/>
    </w:rPr>
  </w:style>
  <w:style w:type="paragraph" w:styleId="Cabealho">
    <w:name w:val="header"/>
    <w:basedOn w:val="Normal"/>
    <w:link w:val="CabealhoChar"/>
    <w:unhideWhenUsed/>
    <w:rsid w:val="002D3F13"/>
    <w:pPr>
      <w:tabs>
        <w:tab w:val="center" w:pos="4252"/>
        <w:tab w:val="right" w:pos="8504"/>
      </w:tabs>
      <w:spacing w:after="0" w:line="240" w:lineRule="auto"/>
    </w:pPr>
  </w:style>
  <w:style w:type="character" w:customStyle="1" w:styleId="TR-3Char">
    <w:name w:val="TR-3 Char"/>
    <w:basedOn w:val="TR-2Char"/>
    <w:link w:val="TR-3"/>
    <w:rsid w:val="00191E98"/>
    <w:rPr>
      <w:rFonts w:ascii="Cambria" w:hAnsi="Cambria"/>
      <w:b w:val="0"/>
      <w:sz w:val="24"/>
      <w:szCs w:val="24"/>
    </w:rPr>
  </w:style>
  <w:style w:type="character" w:customStyle="1" w:styleId="CabealhoChar">
    <w:name w:val="Cabeçalho Char"/>
    <w:basedOn w:val="Fontepargpadro"/>
    <w:link w:val="Cabealho"/>
    <w:rsid w:val="002D3F13"/>
  </w:style>
  <w:style w:type="paragraph" w:styleId="Rodap">
    <w:name w:val="footer"/>
    <w:basedOn w:val="Normal"/>
    <w:link w:val="RodapChar"/>
    <w:uiPriority w:val="99"/>
    <w:unhideWhenUsed/>
    <w:rsid w:val="002D3F13"/>
    <w:pPr>
      <w:tabs>
        <w:tab w:val="center" w:pos="4252"/>
        <w:tab w:val="right" w:pos="8504"/>
      </w:tabs>
      <w:spacing w:after="0" w:line="240" w:lineRule="auto"/>
    </w:pPr>
  </w:style>
  <w:style w:type="character" w:customStyle="1" w:styleId="RodapChar">
    <w:name w:val="Rodapé Char"/>
    <w:basedOn w:val="Fontepargpadro"/>
    <w:link w:val="Rodap"/>
    <w:uiPriority w:val="99"/>
    <w:rsid w:val="002D3F13"/>
  </w:style>
  <w:style w:type="paragraph" w:customStyle="1" w:styleId="TR-4">
    <w:name w:val="TR-4"/>
    <w:basedOn w:val="TR-3"/>
    <w:link w:val="TR-4Char"/>
    <w:qFormat/>
    <w:rsid w:val="00134968"/>
    <w:pPr>
      <w:numPr>
        <w:ilvl w:val="3"/>
      </w:numPr>
      <w:ind w:left="1077" w:firstLine="0"/>
    </w:pPr>
  </w:style>
  <w:style w:type="character" w:customStyle="1" w:styleId="TR-4Char">
    <w:name w:val="TR-4 Char"/>
    <w:basedOn w:val="TR-3Char"/>
    <w:link w:val="TR-4"/>
    <w:rsid w:val="00134968"/>
    <w:rPr>
      <w:rFonts w:ascii="Cambria" w:hAnsi="Cambria"/>
      <w:b w:val="0"/>
      <w:sz w:val="24"/>
      <w:szCs w:val="24"/>
    </w:rPr>
  </w:style>
  <w:style w:type="paragraph" w:styleId="Textodebalo">
    <w:name w:val="Balloon Text"/>
    <w:basedOn w:val="Normal"/>
    <w:link w:val="TextodebaloChar"/>
    <w:uiPriority w:val="99"/>
    <w:semiHidden/>
    <w:unhideWhenUsed/>
    <w:rsid w:val="006221B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221B1"/>
    <w:rPr>
      <w:rFonts w:ascii="Tahoma" w:hAnsi="Tahoma" w:cs="Tahoma"/>
      <w:sz w:val="16"/>
      <w:szCs w:val="16"/>
    </w:rPr>
  </w:style>
  <w:style w:type="character" w:styleId="Hyperlink">
    <w:name w:val="Hyperlink"/>
    <w:basedOn w:val="Fontepargpadro"/>
    <w:uiPriority w:val="99"/>
    <w:unhideWhenUsed/>
    <w:rsid w:val="00A52B4D"/>
    <w:rPr>
      <w:color w:val="0563C1" w:themeColor="hyperlink"/>
      <w:u w:val="single"/>
    </w:rPr>
  </w:style>
  <w:style w:type="character" w:styleId="Refdecomentrio">
    <w:name w:val="annotation reference"/>
    <w:basedOn w:val="Fontepargpadro"/>
    <w:uiPriority w:val="99"/>
    <w:semiHidden/>
    <w:unhideWhenUsed/>
    <w:rsid w:val="004E3A06"/>
    <w:rPr>
      <w:sz w:val="16"/>
      <w:szCs w:val="16"/>
    </w:rPr>
  </w:style>
  <w:style w:type="paragraph" w:styleId="Textodecomentrio">
    <w:name w:val="annotation text"/>
    <w:basedOn w:val="Normal"/>
    <w:link w:val="TextodecomentrioChar"/>
    <w:uiPriority w:val="99"/>
    <w:semiHidden/>
    <w:unhideWhenUsed/>
    <w:rsid w:val="004E3A06"/>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E3A06"/>
    <w:rPr>
      <w:sz w:val="20"/>
      <w:szCs w:val="20"/>
    </w:rPr>
  </w:style>
  <w:style w:type="paragraph" w:styleId="Assuntodocomentrio">
    <w:name w:val="annotation subject"/>
    <w:basedOn w:val="Textodecomentrio"/>
    <w:next w:val="Textodecomentrio"/>
    <w:link w:val="AssuntodocomentrioChar"/>
    <w:uiPriority w:val="99"/>
    <w:semiHidden/>
    <w:unhideWhenUsed/>
    <w:rsid w:val="004E3A06"/>
    <w:rPr>
      <w:b/>
      <w:bCs/>
    </w:rPr>
  </w:style>
  <w:style w:type="character" w:customStyle="1" w:styleId="AssuntodocomentrioChar">
    <w:name w:val="Assunto do comentário Char"/>
    <w:basedOn w:val="TextodecomentrioChar"/>
    <w:link w:val="Assuntodocomentrio"/>
    <w:uiPriority w:val="99"/>
    <w:semiHidden/>
    <w:rsid w:val="004E3A0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C922E2"/>
    <w:pPr>
      <w:ind w:left="720"/>
      <w:contextualSpacing/>
    </w:pPr>
  </w:style>
  <w:style w:type="paragraph" w:customStyle="1" w:styleId="TR-1">
    <w:name w:val="TR-1"/>
    <w:basedOn w:val="PargrafodaLista"/>
    <w:link w:val="TR-1Char"/>
    <w:qFormat/>
    <w:rsid w:val="00E75E88"/>
    <w:pPr>
      <w:numPr>
        <w:numId w:val="1"/>
      </w:numPr>
    </w:pPr>
    <w:rPr>
      <w:rFonts w:ascii="Cambria" w:hAnsi="Cambria"/>
      <w:b/>
      <w:sz w:val="24"/>
      <w:szCs w:val="24"/>
    </w:rPr>
  </w:style>
  <w:style w:type="paragraph" w:customStyle="1" w:styleId="TR-2">
    <w:name w:val="TR-2"/>
    <w:basedOn w:val="TR-1"/>
    <w:link w:val="TR-2Char"/>
    <w:qFormat/>
    <w:rsid w:val="005B167F"/>
    <w:pPr>
      <w:numPr>
        <w:ilvl w:val="1"/>
      </w:numPr>
      <w:ind w:left="357" w:firstLine="0"/>
      <w:jc w:val="both"/>
    </w:pPr>
    <w:rPr>
      <w:b w:val="0"/>
    </w:rPr>
  </w:style>
  <w:style w:type="character" w:customStyle="1" w:styleId="PargrafodaListaChar">
    <w:name w:val="Parágrafo da Lista Char"/>
    <w:basedOn w:val="Fontepargpadro"/>
    <w:link w:val="PargrafodaLista"/>
    <w:uiPriority w:val="34"/>
    <w:rsid w:val="00E75E88"/>
  </w:style>
  <w:style w:type="character" w:customStyle="1" w:styleId="TR-1Char">
    <w:name w:val="TR-1 Char"/>
    <w:basedOn w:val="PargrafodaListaChar"/>
    <w:link w:val="TR-1"/>
    <w:rsid w:val="00E75E88"/>
    <w:rPr>
      <w:rFonts w:ascii="Cambria" w:hAnsi="Cambria"/>
      <w:b/>
      <w:sz w:val="24"/>
      <w:szCs w:val="24"/>
    </w:rPr>
  </w:style>
  <w:style w:type="paragraph" w:customStyle="1" w:styleId="TR-3">
    <w:name w:val="TR-3"/>
    <w:basedOn w:val="TR-2"/>
    <w:link w:val="TR-3Char"/>
    <w:qFormat/>
    <w:rsid w:val="00191E98"/>
    <w:pPr>
      <w:numPr>
        <w:ilvl w:val="2"/>
      </w:numPr>
      <w:ind w:left="720" w:firstLine="0"/>
    </w:pPr>
  </w:style>
  <w:style w:type="character" w:customStyle="1" w:styleId="TR-2Char">
    <w:name w:val="TR-2 Char"/>
    <w:basedOn w:val="TR-1Char"/>
    <w:link w:val="TR-2"/>
    <w:rsid w:val="005B167F"/>
    <w:rPr>
      <w:rFonts w:ascii="Cambria" w:hAnsi="Cambria"/>
      <w:b w:val="0"/>
      <w:sz w:val="24"/>
      <w:szCs w:val="24"/>
    </w:rPr>
  </w:style>
  <w:style w:type="paragraph" w:styleId="Cabealho">
    <w:name w:val="header"/>
    <w:basedOn w:val="Normal"/>
    <w:link w:val="CabealhoChar"/>
    <w:unhideWhenUsed/>
    <w:rsid w:val="002D3F13"/>
    <w:pPr>
      <w:tabs>
        <w:tab w:val="center" w:pos="4252"/>
        <w:tab w:val="right" w:pos="8504"/>
      </w:tabs>
      <w:spacing w:after="0" w:line="240" w:lineRule="auto"/>
    </w:pPr>
  </w:style>
  <w:style w:type="character" w:customStyle="1" w:styleId="TR-3Char">
    <w:name w:val="TR-3 Char"/>
    <w:basedOn w:val="TR-2Char"/>
    <w:link w:val="TR-3"/>
    <w:rsid w:val="00191E98"/>
    <w:rPr>
      <w:rFonts w:ascii="Cambria" w:hAnsi="Cambria"/>
      <w:b w:val="0"/>
      <w:sz w:val="24"/>
      <w:szCs w:val="24"/>
    </w:rPr>
  </w:style>
  <w:style w:type="character" w:customStyle="1" w:styleId="CabealhoChar">
    <w:name w:val="Cabeçalho Char"/>
    <w:basedOn w:val="Fontepargpadro"/>
    <w:link w:val="Cabealho"/>
    <w:rsid w:val="002D3F13"/>
  </w:style>
  <w:style w:type="paragraph" w:styleId="Rodap">
    <w:name w:val="footer"/>
    <w:basedOn w:val="Normal"/>
    <w:link w:val="RodapChar"/>
    <w:uiPriority w:val="99"/>
    <w:unhideWhenUsed/>
    <w:rsid w:val="002D3F13"/>
    <w:pPr>
      <w:tabs>
        <w:tab w:val="center" w:pos="4252"/>
        <w:tab w:val="right" w:pos="8504"/>
      </w:tabs>
      <w:spacing w:after="0" w:line="240" w:lineRule="auto"/>
    </w:pPr>
  </w:style>
  <w:style w:type="character" w:customStyle="1" w:styleId="RodapChar">
    <w:name w:val="Rodapé Char"/>
    <w:basedOn w:val="Fontepargpadro"/>
    <w:link w:val="Rodap"/>
    <w:uiPriority w:val="99"/>
    <w:rsid w:val="002D3F13"/>
  </w:style>
  <w:style w:type="paragraph" w:customStyle="1" w:styleId="TR-4">
    <w:name w:val="TR-4"/>
    <w:basedOn w:val="TR-3"/>
    <w:link w:val="TR-4Char"/>
    <w:qFormat/>
    <w:rsid w:val="00134968"/>
    <w:pPr>
      <w:numPr>
        <w:ilvl w:val="3"/>
      </w:numPr>
      <w:ind w:left="1077" w:firstLine="0"/>
    </w:pPr>
  </w:style>
  <w:style w:type="character" w:customStyle="1" w:styleId="TR-4Char">
    <w:name w:val="TR-4 Char"/>
    <w:basedOn w:val="TR-3Char"/>
    <w:link w:val="TR-4"/>
    <w:rsid w:val="00134968"/>
    <w:rPr>
      <w:rFonts w:ascii="Cambria" w:hAnsi="Cambria"/>
      <w:b w:val="0"/>
      <w:sz w:val="24"/>
      <w:szCs w:val="24"/>
    </w:rPr>
  </w:style>
  <w:style w:type="paragraph" w:styleId="Textodebalo">
    <w:name w:val="Balloon Text"/>
    <w:basedOn w:val="Normal"/>
    <w:link w:val="TextodebaloChar"/>
    <w:uiPriority w:val="99"/>
    <w:semiHidden/>
    <w:unhideWhenUsed/>
    <w:rsid w:val="006221B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221B1"/>
    <w:rPr>
      <w:rFonts w:ascii="Tahoma" w:hAnsi="Tahoma" w:cs="Tahoma"/>
      <w:sz w:val="16"/>
      <w:szCs w:val="16"/>
    </w:rPr>
  </w:style>
  <w:style w:type="character" w:styleId="Hyperlink">
    <w:name w:val="Hyperlink"/>
    <w:basedOn w:val="Fontepargpadro"/>
    <w:uiPriority w:val="99"/>
    <w:unhideWhenUsed/>
    <w:rsid w:val="00A52B4D"/>
    <w:rPr>
      <w:color w:val="0563C1" w:themeColor="hyperlink"/>
      <w:u w:val="single"/>
    </w:rPr>
  </w:style>
  <w:style w:type="character" w:styleId="Refdecomentrio">
    <w:name w:val="annotation reference"/>
    <w:basedOn w:val="Fontepargpadro"/>
    <w:uiPriority w:val="99"/>
    <w:semiHidden/>
    <w:unhideWhenUsed/>
    <w:rsid w:val="004E3A06"/>
    <w:rPr>
      <w:sz w:val="16"/>
      <w:szCs w:val="16"/>
    </w:rPr>
  </w:style>
  <w:style w:type="paragraph" w:styleId="Textodecomentrio">
    <w:name w:val="annotation text"/>
    <w:basedOn w:val="Normal"/>
    <w:link w:val="TextodecomentrioChar"/>
    <w:uiPriority w:val="99"/>
    <w:semiHidden/>
    <w:unhideWhenUsed/>
    <w:rsid w:val="004E3A06"/>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E3A06"/>
    <w:rPr>
      <w:sz w:val="20"/>
      <w:szCs w:val="20"/>
    </w:rPr>
  </w:style>
  <w:style w:type="paragraph" w:styleId="Assuntodocomentrio">
    <w:name w:val="annotation subject"/>
    <w:basedOn w:val="Textodecomentrio"/>
    <w:next w:val="Textodecomentrio"/>
    <w:link w:val="AssuntodocomentrioChar"/>
    <w:uiPriority w:val="99"/>
    <w:semiHidden/>
    <w:unhideWhenUsed/>
    <w:rsid w:val="004E3A06"/>
    <w:rPr>
      <w:b/>
      <w:bCs/>
    </w:rPr>
  </w:style>
  <w:style w:type="character" w:customStyle="1" w:styleId="AssuntodocomentrioChar">
    <w:name w:val="Assunto do comentário Char"/>
    <w:basedOn w:val="TextodecomentrioChar"/>
    <w:link w:val="Assuntodocomentrio"/>
    <w:uiPriority w:val="99"/>
    <w:semiHidden/>
    <w:rsid w:val="004E3A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94884">
      <w:bodyDiv w:val="1"/>
      <w:marLeft w:val="0"/>
      <w:marRight w:val="0"/>
      <w:marTop w:val="0"/>
      <w:marBottom w:val="0"/>
      <w:divBdr>
        <w:top w:val="none" w:sz="0" w:space="0" w:color="auto"/>
        <w:left w:val="none" w:sz="0" w:space="0" w:color="auto"/>
        <w:bottom w:val="none" w:sz="0" w:space="0" w:color="auto"/>
        <w:right w:val="none" w:sz="0" w:space="0" w:color="auto"/>
      </w:divBdr>
    </w:div>
    <w:div w:id="380517324">
      <w:bodyDiv w:val="1"/>
      <w:marLeft w:val="0"/>
      <w:marRight w:val="0"/>
      <w:marTop w:val="0"/>
      <w:marBottom w:val="0"/>
      <w:divBdr>
        <w:top w:val="none" w:sz="0" w:space="0" w:color="auto"/>
        <w:left w:val="none" w:sz="0" w:space="0" w:color="auto"/>
        <w:bottom w:val="none" w:sz="0" w:space="0" w:color="auto"/>
        <w:right w:val="none" w:sz="0" w:space="0" w:color="auto"/>
      </w:divBdr>
    </w:div>
    <w:div w:id="822545493">
      <w:bodyDiv w:val="1"/>
      <w:marLeft w:val="0"/>
      <w:marRight w:val="0"/>
      <w:marTop w:val="0"/>
      <w:marBottom w:val="0"/>
      <w:divBdr>
        <w:top w:val="none" w:sz="0" w:space="0" w:color="auto"/>
        <w:left w:val="none" w:sz="0" w:space="0" w:color="auto"/>
        <w:bottom w:val="none" w:sz="0" w:space="0" w:color="auto"/>
        <w:right w:val="none" w:sz="0" w:space="0" w:color="auto"/>
      </w:divBdr>
    </w:div>
    <w:div w:id="1476098557">
      <w:bodyDiv w:val="1"/>
      <w:marLeft w:val="0"/>
      <w:marRight w:val="0"/>
      <w:marTop w:val="0"/>
      <w:marBottom w:val="0"/>
      <w:divBdr>
        <w:top w:val="none" w:sz="0" w:space="0" w:color="auto"/>
        <w:left w:val="none" w:sz="0" w:space="0" w:color="auto"/>
        <w:bottom w:val="none" w:sz="0" w:space="0" w:color="auto"/>
        <w:right w:val="none" w:sz="0" w:space="0" w:color="auto"/>
      </w:divBdr>
    </w:div>
    <w:div w:id="1597862260">
      <w:bodyDiv w:val="1"/>
      <w:marLeft w:val="0"/>
      <w:marRight w:val="0"/>
      <w:marTop w:val="0"/>
      <w:marBottom w:val="0"/>
      <w:divBdr>
        <w:top w:val="none" w:sz="0" w:space="0" w:color="auto"/>
        <w:left w:val="none" w:sz="0" w:space="0" w:color="auto"/>
        <w:bottom w:val="none" w:sz="0" w:space="0" w:color="auto"/>
        <w:right w:val="none" w:sz="0" w:space="0" w:color="auto"/>
      </w:divBdr>
    </w:div>
    <w:div w:id="1659729541">
      <w:bodyDiv w:val="1"/>
      <w:marLeft w:val="0"/>
      <w:marRight w:val="0"/>
      <w:marTop w:val="0"/>
      <w:marBottom w:val="0"/>
      <w:divBdr>
        <w:top w:val="none" w:sz="0" w:space="0" w:color="auto"/>
        <w:left w:val="none" w:sz="0" w:space="0" w:color="auto"/>
        <w:bottom w:val="none" w:sz="0" w:space="0" w:color="auto"/>
        <w:right w:val="none" w:sz="0" w:space="0" w:color="auto"/>
      </w:divBdr>
      <w:divsChild>
        <w:div w:id="211890699">
          <w:marLeft w:val="0"/>
          <w:marRight w:val="0"/>
          <w:marTop w:val="0"/>
          <w:marBottom w:val="0"/>
          <w:divBdr>
            <w:top w:val="none" w:sz="0" w:space="0" w:color="auto"/>
            <w:left w:val="none" w:sz="0" w:space="0" w:color="auto"/>
            <w:bottom w:val="none" w:sz="0" w:space="0" w:color="auto"/>
            <w:right w:val="none" w:sz="0" w:space="0" w:color="auto"/>
          </w:divBdr>
          <w:divsChild>
            <w:div w:id="503323140">
              <w:marLeft w:val="0"/>
              <w:marRight w:val="0"/>
              <w:marTop w:val="0"/>
              <w:marBottom w:val="0"/>
              <w:divBdr>
                <w:top w:val="none" w:sz="0" w:space="0" w:color="auto"/>
                <w:left w:val="none" w:sz="0" w:space="0" w:color="auto"/>
                <w:bottom w:val="none" w:sz="0" w:space="0" w:color="auto"/>
                <w:right w:val="none" w:sz="0" w:space="0" w:color="auto"/>
              </w:divBdr>
              <w:divsChild>
                <w:div w:id="89635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9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2A6CF-0C1F-4FEC-BF27-7333FD3C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12</Pages>
  <Words>3608</Words>
  <Characters>19488</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 da Microsoft</dc:creator>
  <cp:lastModifiedBy>CPL</cp:lastModifiedBy>
  <cp:revision>62</cp:revision>
  <cp:lastPrinted>2023-07-21T13:43:00Z</cp:lastPrinted>
  <dcterms:created xsi:type="dcterms:W3CDTF">2023-07-07T16:06:00Z</dcterms:created>
  <dcterms:modified xsi:type="dcterms:W3CDTF">2023-07-21T13:43:00Z</dcterms:modified>
</cp:coreProperties>
</file>